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e14639905fa59d39bfb1fac89723dca3ef27fa8"/>
      <w:r>
        <w:t xml:space="preserve">Slides 6.10: Global Foods, One Dish, Three Cultures</w:t>
      </w:r>
      <w:bookmarkEnd w:id="20"/>
    </w:p>
    <w:p>
      <w:pPr>
        <w:pStyle w:val="FirstParagraph"/>
      </w:pPr>
      <w:r>
        <w:t xml:space="preserve">Slide outline for Lesson 6.10. Twenty slides across two days: Day 1 slides 1 to 11, Day 2 slides 12 to 20. Slide 2 is read out loud and never skipped.</w:t>
      </w:r>
      <w:r>
        <w:t xml:space="preserve"> </w:t>
      </w:r>
      <w:r>
        <w:rPr>
          <w:rStyle w:val="TeacherNote"/>
        </w:rPr>
        <w:t xml:space="preserve">[Sal: every dish photo should be a real dish, not a stylized one, and every photo needs the dish name and the region under it so students see both together.]</w:t>
      </w:r>
    </w:p>
    <w:p>
      <w:r>
        <w:br w:type="page"/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slide-1-one-dish-three-cultures"/>
      <w:r>
        <w:t xml:space="preserve">Slide 1: One Dish, Three Cultures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Unit 6, Lesson 6.10, Day 1</w:t>
      </w:r>
    </w:p>
    <w:p>
      <w:pPr>
        <w:numPr>
          <w:ilvl w:val="0"/>
          <w:numId w:val="1001"/>
        </w:numPr>
        <w:pStyle w:val="Compact"/>
      </w:pPr>
      <w:r>
        <w:t xml:space="preserve">Topic 6.2 Food Preparation Methods and Science</w:t>
      </w:r>
    </w:p>
    <w:p>
      <w:pPr>
        <w:numPr>
          <w:ilvl w:val="0"/>
          <w:numId w:val="1001"/>
        </w:numPr>
        <w:pStyle w:val="Compact"/>
      </w:pPr>
      <w:r>
        <w:t xml:space="preserve">Today: why do so many separate cultures land on the same idea?</w:t>
      </w:r>
      <w:r>
        <w:t xml:space="preserve"> </w:t>
      </w:r>
      <w:r>
        <w:t xml:space="preserve">Image: three dishes side by side, an empanada, a pierogi, and a samosa, each labeled with its name and region.</w:t>
      </w:r>
    </w:p>
    <w:p>
      <w:pPr>
        <w:pStyle w:val="Heading2"/>
      </w:pPr>
      <w:bookmarkStart w:id="23" w:name="slide-2-our-agreement-on-food-talk"/>
      <w:r>
        <w:t xml:space="preserve">Slide 2: Our agreement on food talk</w:t>
      </w:r>
      <w:bookmarkEnd w:id="23"/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Curious, not disgusted.</w:t>
      </w:r>
      <w:r>
        <w:t xml:space="preserve"> </w:t>
      </w:r>
      <w:r>
        <w:t xml:space="preserve">“</w:t>
      </w:r>
      <w:r>
        <w:t xml:space="preserve">I have not tried that</w:t>
      </w:r>
      <w:r>
        <w:t xml:space="preserve">”</w:t>
      </w:r>
      <w:r>
        <w:t xml:space="preserve"> </w:t>
      </w:r>
      <w:r>
        <w:t xml:space="preserve">is a sentence.</w:t>
      </w:r>
      <w:r>
        <w:t xml:space="preserve"> </w:t>
      </w:r>
      <w:r>
        <w:t xml:space="preserve">“</w:t>
      </w:r>
      <w:r>
        <w:t xml:space="preserve">That is gross</w:t>
      </w:r>
      <w:r>
        <w:t xml:space="preserve">”</w:t>
      </w:r>
      <w:r>
        <w:t xml:space="preserve"> </w:t>
      </w:r>
      <w:r>
        <w:t xml:space="preserve">is not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Ask, do not assume.</w:t>
      </w:r>
      <w:r>
        <w:t xml:space="preserve"> </w:t>
      </w:r>
      <w:r>
        <w:t xml:space="preserve">Ask the question instead of guessing the answer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No ranking.</w:t>
      </w:r>
      <w:r>
        <w:t xml:space="preserve"> </w:t>
      </w:r>
      <w:r>
        <w:t xml:space="preserve">No best, no worst, no</w:t>
      </w:r>
      <w:r>
        <w:t xml:space="preserve"> </w:t>
      </w:r>
      <w:r>
        <w:t xml:space="preserve">“</w:t>
      </w:r>
      <w:r>
        <w:t xml:space="preserve">weird</w:t>
      </w:r>
      <w:r>
        <w:t xml:space="preserve">”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Nobody has to be the expert on their own background.</w:t>
      </w:r>
      <w:r>
        <w:t xml:space="preserve"> </w:t>
      </w:r>
      <w:r>
        <w:t xml:space="preserve">You may share, and you may say nothing</w:t>
      </w:r>
      <w:r>
        <w:t xml:space="preserve"> </w:t>
      </w:r>
      <w:r>
        <w:t xml:space="preserve">Notes: Read all four out loud. Do not summarize and do not skip past. One</w:t>
      </w:r>
      <w:r>
        <w:t xml:space="preserve"> </w:t>
      </w:r>
      <w:r>
        <w:t xml:space="preserve">“</w:t>
      </w:r>
      <w:r>
        <w:t xml:space="preserve">that is disgusting</w:t>
      </w:r>
      <w:r>
        <w:t xml:space="preserve">”</w:t>
      </w:r>
      <w:r>
        <w:t xml:space="preserve"> </w:t>
      </w:r>
      <w:r>
        <w:t xml:space="preserve">in the first two minutes sets the tone for both days.</w:t>
      </w:r>
    </w:p>
    <w:p>
      <w:pPr>
        <w:pStyle w:val="Heading2"/>
      </w:pPr>
      <w:bookmarkStart w:id="24" w:name="slide-3-do-now"/>
      <w:r>
        <w:t xml:space="preserve">Slide 3: Do now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Name a food you eat at home that you have never seen in a school cafeteria</w:t>
      </w:r>
    </w:p>
    <w:p>
      <w:pPr>
        <w:numPr>
          <w:ilvl w:val="0"/>
          <w:numId w:val="1003"/>
        </w:numPr>
        <w:pStyle w:val="Compact"/>
      </w:pPr>
      <w:r>
        <w:t xml:space="preserve">One line</w:t>
      </w:r>
    </w:p>
    <w:p>
      <w:pPr>
        <w:numPr>
          <w:ilvl w:val="0"/>
          <w:numId w:val="1003"/>
        </w:numPr>
        <w:pStyle w:val="Compact"/>
      </w:pPr>
      <w:r>
        <w:t xml:space="preserve">If you cannot think of one, name a food you have seen somebody else eat that you have never tried</w:t>
      </w:r>
      <w:r>
        <w:t xml:space="preserve"> </w:t>
      </w:r>
      <w:r>
        <w:t xml:space="preserve">Notes: Collect four dishes on the board with</w:t>
      </w:r>
      <w:r>
        <w:t xml:space="preserve"> </w:t>
      </w:r>
      <w:r>
        <w:rPr>
          <w:b/>
        </w:rPr>
        <w:t xml:space="preserve">no names attached.</w:t>
      </w:r>
      <w:r>
        <w:t xml:space="preserve"> </w:t>
      </w:r>
      <w:r>
        <w:t xml:space="preserve">Never write a student’s name next to a dish.</w:t>
      </w:r>
    </w:p>
    <w:p>
      <w:pPr>
        <w:pStyle w:val="Heading2"/>
      </w:pPr>
      <w:bookmarkStart w:id="25" w:name="Xcfcc00671c17a32ca2d41adb4d1bbd03467299b"/>
      <w:r>
        <w:t xml:space="preserve">Slide 4: Three continents, three centuries, one idea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Dough around filling, sealed, cooked</w:t>
      </w:r>
    </w:p>
    <w:p>
      <w:pPr>
        <w:numPr>
          <w:ilvl w:val="0"/>
          <w:numId w:val="1004"/>
        </w:numPr>
        <w:pStyle w:val="Compact"/>
      </w:pPr>
      <w:r>
        <w:t xml:space="preserve">Nobody copied anybody</w:t>
      </w:r>
    </w:p>
    <w:p>
      <w:pPr>
        <w:numPr>
          <w:ilvl w:val="0"/>
          <w:numId w:val="1004"/>
        </w:numPr>
        <w:pStyle w:val="Compact"/>
      </w:pPr>
      <w:r>
        <w:t xml:space="preserve">Why does this keep happening?</w:t>
      </w:r>
      <w:r>
        <w:t xml:space="preserve"> </w:t>
      </w:r>
      <w:r>
        <w:t xml:space="preserve">Image: the same three dishes from slide 1, now with a world map behind them and a line from each to its region.</w:t>
      </w:r>
      <w:r>
        <w:t xml:space="preserve"> </w:t>
      </w:r>
      <w:r>
        <w:t xml:space="preserve">Notes: This is the hook.</w:t>
      </w:r>
    </w:p>
    <w:p>
      <w:pPr>
        <w:pStyle w:val="Heading2"/>
      </w:pPr>
      <w:bookmarkStart w:id="26" w:name="slide-5-climate"/>
      <w:r>
        <w:t xml:space="preserve">Slide 5: Climate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Heat, cold, rainfall, and growing season decide what can be grown</w:t>
      </w:r>
    </w:p>
    <w:p>
      <w:pPr>
        <w:numPr>
          <w:ilvl w:val="0"/>
          <w:numId w:val="1005"/>
        </w:numPr>
        <w:pStyle w:val="Compact"/>
      </w:pPr>
      <w:r>
        <w:t xml:space="preserve">And how food has to be preserved</w:t>
      </w:r>
    </w:p>
    <w:p>
      <w:pPr>
        <w:numPr>
          <w:ilvl w:val="0"/>
          <w:numId w:val="1005"/>
        </w:numPr>
        <w:pStyle w:val="Compact"/>
      </w:pPr>
      <w:r>
        <w:t xml:space="preserve">Rice needs standing water and heat</w:t>
      </w:r>
    </w:p>
    <w:p>
      <w:pPr>
        <w:numPr>
          <w:ilvl w:val="0"/>
          <w:numId w:val="1005"/>
        </w:numPr>
        <w:pStyle w:val="Compact"/>
      </w:pPr>
      <w:r>
        <w:t xml:space="preserve">Cold regions preserve with salt, smoke, and fermentation</w:t>
      </w:r>
      <w:r>
        <w:t xml:space="preserve"> </w:t>
      </w:r>
      <w:r>
        <w:t xml:space="preserve">Image: a flooded rice paddy beside a barrel of salted fish.</w:t>
      </w:r>
    </w:p>
    <w:p>
      <w:pPr>
        <w:pStyle w:val="Heading2"/>
      </w:pPr>
      <w:bookmarkStart w:id="27" w:name="slide-6-crops"/>
      <w:r>
        <w:t xml:space="preserve">Slide 6: Crops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Whatever grows well nearby becomes the staple</w:t>
      </w:r>
    </w:p>
    <w:p>
      <w:pPr>
        <w:numPr>
          <w:ilvl w:val="0"/>
          <w:numId w:val="1006"/>
        </w:numPr>
        <w:pStyle w:val="Compact"/>
      </w:pPr>
      <w:r>
        <w:t xml:space="preserve">The staple shapes every meal</w:t>
      </w:r>
    </w:p>
    <w:p>
      <w:pPr>
        <w:numPr>
          <w:ilvl w:val="0"/>
          <w:numId w:val="1006"/>
        </w:numPr>
        <w:pStyle w:val="Compact"/>
      </w:pPr>
      <w:r>
        <w:t xml:space="preserve">Corn in Mesoamerica, wheat in Europe, rice in Asia, potatoes in the Andes, teff in Ethiopia, cassava in West Africa</w:t>
      </w:r>
      <w:r>
        <w:t xml:space="preserve"> </w:t>
      </w:r>
      <w:r>
        <w:t xml:space="preserve">Image: six staple crops in six small photos, labeled.</w:t>
      </w:r>
    </w:p>
    <w:p>
      <w:pPr>
        <w:pStyle w:val="Heading2"/>
      </w:pPr>
      <w:bookmarkStart w:id="28" w:name="slide-7-trade"/>
      <w:r>
        <w:t xml:space="preserve">Slide 7: Trade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Ingredients moved along routes and rewrote whole cuisines</w:t>
      </w:r>
    </w:p>
    <w:p>
      <w:pPr>
        <w:numPr>
          <w:ilvl w:val="0"/>
          <w:numId w:val="1007"/>
        </w:numPr>
        <w:pStyle w:val="Compact"/>
      </w:pPr>
      <w:r>
        <w:t xml:space="preserve">Chilies went from the Americas to Asia and Africa after 1500</w:t>
      </w:r>
    </w:p>
    <w:p>
      <w:pPr>
        <w:numPr>
          <w:ilvl w:val="0"/>
          <w:numId w:val="1007"/>
        </w:numPr>
        <w:pStyle w:val="Compact"/>
      </w:pPr>
      <w:r>
        <w:t xml:space="preserve">Tomatoes went from the Americas to Italy</w:t>
      </w:r>
    </w:p>
    <w:p>
      <w:pPr>
        <w:numPr>
          <w:ilvl w:val="0"/>
          <w:numId w:val="1007"/>
        </w:numPr>
        <w:pStyle w:val="Compact"/>
      </w:pPr>
      <w:r>
        <w:t xml:space="preserve">Black pepper went from India to Europe</w:t>
      </w:r>
      <w:r>
        <w:t xml:space="preserve"> </w:t>
      </w:r>
      <w:r>
        <w:t xml:space="preserve">Image: a world map with four labeled arrows.</w:t>
      </w:r>
      <w:r>
        <w:t xml:space="preserve"> </w:t>
      </w:r>
      <w:r>
        <w:t xml:space="preserve">Notes: This is the slide that breaks the idea of a pure traditional cuisine, and it is worth thirty extra seconds.</w:t>
      </w:r>
    </w:p>
    <w:p>
      <w:pPr>
        <w:pStyle w:val="Heading2"/>
      </w:pPr>
      <w:bookmarkStart w:id="29" w:name="slide-8-migration"/>
      <w:r>
        <w:t xml:space="preserve">Slide 8: Migration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People carry recipes and adapt them to what the new place sells</w:t>
      </w:r>
    </w:p>
    <w:p>
      <w:pPr>
        <w:numPr>
          <w:ilvl w:val="0"/>
          <w:numId w:val="1008"/>
        </w:numPr>
        <w:pStyle w:val="Compact"/>
      </w:pPr>
      <w:r>
        <w:t xml:space="preserve">Red beans and rice in Louisiana carries West African cooking into a Gulf pantry</w:t>
      </w:r>
    </w:p>
    <w:p>
      <w:pPr>
        <w:numPr>
          <w:ilvl w:val="0"/>
          <w:numId w:val="1008"/>
        </w:numPr>
        <w:pStyle w:val="Compact"/>
      </w:pPr>
      <w:r>
        <w:t xml:space="preserve">Pizza in New York is not pizza in Naples</w:t>
      </w:r>
      <w:r>
        <w:t xml:space="preserve"> </w:t>
      </w:r>
      <w:r>
        <w:t xml:space="preserve">Image: two versions of the same dish side by side, home country and new country.</w:t>
      </w:r>
    </w:p>
    <w:p>
      <w:pPr>
        <w:pStyle w:val="Heading2"/>
      </w:pPr>
      <w:bookmarkStart w:id="30" w:name="slide-9-religion"/>
      <w:r>
        <w:t xml:space="preserve">Slide 9: Religion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Permitted and forbidden foods</w:t>
      </w:r>
    </w:p>
    <w:p>
      <w:pPr>
        <w:numPr>
          <w:ilvl w:val="0"/>
          <w:numId w:val="1009"/>
        </w:numPr>
        <w:pStyle w:val="Compact"/>
      </w:pPr>
      <w:r>
        <w:t xml:space="preserve">Fasting days and feast dishes</w:t>
      </w:r>
    </w:p>
    <w:p>
      <w:pPr>
        <w:numPr>
          <w:ilvl w:val="0"/>
          <w:numId w:val="1009"/>
        </w:numPr>
        <w:pStyle w:val="Compact"/>
      </w:pPr>
      <w:r>
        <w:t xml:space="preserve">Halal and kosher rules on meat, Lent and Ramadan fasting, vegetarian practice in Hindu, Jain, and Buddhist traditions</w:t>
      </w:r>
      <w:r>
        <w:t xml:space="preserve"> </w:t>
      </w:r>
      <w:r>
        <w:t xml:space="preserve">Notes: Factual, brief, no commentary. This is one of the five factors and it gets the same thirty seconds as the other four.</w:t>
      </w:r>
    </w:p>
    <w:p>
      <w:pPr>
        <w:pStyle w:val="Heading2"/>
      </w:pPr>
      <w:bookmarkStart w:id="31" w:name="slide-10-the-pattern-three-ways"/>
      <w:r>
        <w:t xml:space="preserve">Slide 10: The pattern, three ways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All three: dough plus filling, sealed, cooked</w:t>
      </w:r>
    </w:p>
    <w:p>
      <w:pPr>
        <w:numPr>
          <w:ilvl w:val="0"/>
          <w:numId w:val="1010"/>
        </w:numPr>
        <w:pStyle w:val="Compact"/>
      </w:pPr>
      <w:r>
        <w:t xml:space="preserve">The dough differs in how it is made and rolled</w:t>
      </w:r>
    </w:p>
    <w:p>
      <w:pPr>
        <w:numPr>
          <w:ilvl w:val="0"/>
          <w:numId w:val="1010"/>
        </w:numPr>
        <w:pStyle w:val="Compact"/>
      </w:pPr>
      <w:r>
        <w:t xml:space="preserve">The filling is whatever is local and affordable</w:t>
      </w:r>
    </w:p>
    <w:p>
      <w:pPr>
        <w:numPr>
          <w:ilvl w:val="0"/>
          <w:numId w:val="1010"/>
        </w:numPr>
        <w:pStyle w:val="Compact"/>
      </w:pPr>
      <w:r>
        <w:t xml:space="preserve">The method differs: fried, boiled, fried or baked</w:t>
      </w:r>
    </w:p>
    <w:p>
      <w:pPr>
        <w:numPr>
          <w:ilvl w:val="0"/>
          <w:numId w:val="1010"/>
        </w:numPr>
        <w:pStyle w:val="Compact"/>
      </w:pPr>
      <w:r>
        <w:t xml:space="preserve">Which factor explains each difference?</w:t>
      </w:r>
      <w:r>
        <w:t xml:space="preserve"> </w:t>
      </w:r>
      <w:r>
        <w:t xml:space="preserve">Notes: Model the comparison out loud so the format is demonstrated before students do it alone. Students fill the first row of the comparison page from your example.</w:t>
      </w:r>
    </w:p>
    <w:p>
      <w:pPr>
        <w:pStyle w:val="Heading2"/>
      </w:pPr>
      <w:bookmarkStart w:id="32" w:name="slide-11-your-research-card"/>
      <w:r>
        <w:t xml:space="preserve">Slide 11: Your research card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Pick your form and your three cultures</w:t>
      </w:r>
    </w:p>
    <w:p>
      <w:pPr>
        <w:numPr>
          <w:ilvl w:val="0"/>
          <w:numId w:val="1011"/>
        </w:numPr>
        <w:pStyle w:val="Compact"/>
      </w:pPr>
      <w:r>
        <w:t xml:space="preserve">One dish per person</w:t>
      </w:r>
    </w:p>
    <w:p>
      <w:pPr>
        <w:numPr>
          <w:ilvl w:val="0"/>
          <w:numId w:val="1011"/>
        </w:numPr>
        <w:pStyle w:val="Compact"/>
      </w:pPr>
      <w:r>
        <w:t xml:space="preserve">Five boxes: region, ingredients, method,</w:t>
      </w:r>
      <w:r>
        <w:t xml:space="preserve"> </w:t>
      </w:r>
      <w:r>
        <w:rPr>
          <w:b/>
        </w:rPr>
        <w:t xml:space="preserve">why here,</w:t>
      </w:r>
      <w:r>
        <w:t xml:space="preserve"> </w:t>
      </w:r>
      <w:r>
        <w:t xml:space="preserve">one surprise</w:t>
      </w:r>
    </w:p>
    <w:p>
      <w:pPr>
        <w:numPr>
          <w:ilvl w:val="0"/>
          <w:numId w:val="1011"/>
        </w:numPr>
        <w:pStyle w:val="Compact"/>
      </w:pPr>
      <w:r>
        <w:t xml:space="preserve">Two sources, one from the library or a reference source</w:t>
      </w:r>
    </w:p>
    <w:p>
      <w:pPr>
        <w:numPr>
          <w:ilvl w:val="0"/>
          <w:numId w:val="1011"/>
        </w:numPr>
        <w:pStyle w:val="Compact"/>
      </w:pPr>
      <w:r>
        <w:t xml:space="preserve">“</w:t>
      </w:r>
      <w:r>
        <w:t xml:space="preserve">Because it is their tradition</w:t>
      </w:r>
      <w:r>
        <w:t xml:space="preserve">”</w:t>
      </w:r>
      <w:r>
        <w:t xml:space="preserve"> </w:t>
      </w:r>
      <w:r>
        <w:t xml:space="preserve">does not answer box 4</w:t>
      </w:r>
      <w:r>
        <w:t xml:space="preserve"> </w:t>
      </w:r>
      <w:r>
        <w:t xml:space="preserve">Notes: Push on box 4 while you circulate. It is the box students skip. Exit card: "The factor that explains my dish best is ___ because ___."</w:t>
      </w:r>
    </w:p>
    <w:p>
      <w:r>
        <w:br w:type="page"/>
      </w:r>
    </w:p>
    <w:p>
      <w:pPr>
        <w:pStyle w:val="Heading1"/>
      </w:pPr>
      <w:bookmarkStart w:id="33" w:name="day-2"/>
      <w:r>
        <w:t xml:space="preserve">DAY 2</w:t>
      </w:r>
      <w:bookmarkEnd w:id="33"/>
    </w:p>
    <w:p>
      <w:pPr>
        <w:pStyle w:val="Heading2"/>
      </w:pPr>
      <w:bookmarkStart w:id="34" w:name="slide-12-present-and-compare"/>
      <w:r>
        <w:t xml:space="preserve">Slide 12: Present and Compare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Unit 6, Lesson 6.10, Day 2</w:t>
      </w:r>
    </w:p>
    <w:p>
      <w:pPr>
        <w:numPr>
          <w:ilvl w:val="0"/>
          <w:numId w:val="1012"/>
        </w:numPr>
        <w:pStyle w:val="Compact"/>
      </w:pPr>
      <w:r>
        <w:t xml:space="preserve">Ninety seconds each</w:t>
      </w:r>
    </w:p>
    <w:p>
      <w:pPr>
        <w:numPr>
          <w:ilvl w:val="0"/>
          <w:numId w:val="1012"/>
        </w:numPr>
        <w:pStyle w:val="Compact"/>
      </w:pPr>
      <w:r>
        <w:t xml:space="preserve">Three versions of the same idea, back to back</w:t>
      </w:r>
      <w:r>
        <w:t xml:space="preserve"> </w:t>
      </w:r>
      <w:r>
        <w:t xml:space="preserve">Image: three flatbreads side by side, a pita, a roti, and a tortilla, each labeled.</w:t>
      </w:r>
    </w:p>
    <w:p>
      <w:pPr>
        <w:pStyle w:val="Heading2"/>
      </w:pPr>
      <w:bookmarkStart w:id="35" w:name="slide-13-do-now"/>
      <w:r>
        <w:t xml:space="preserve">Slide 13: Do now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Read your research card</w:t>
      </w:r>
    </w:p>
    <w:p>
      <w:pPr>
        <w:numPr>
          <w:ilvl w:val="0"/>
          <w:numId w:val="1013"/>
        </w:numPr>
        <w:pStyle w:val="Compact"/>
      </w:pPr>
      <w:r>
        <w:t xml:space="preserve">Write the one fact on it that will surprise the class</w:t>
      </w:r>
      <w:r>
        <w:t xml:space="preserve"> </w:t>
      </w:r>
      <w:r>
        <w:t xml:space="preserve">Notes: Thirty seconds.</w:t>
      </w:r>
    </w:p>
    <w:p>
      <w:pPr>
        <w:pStyle w:val="Heading2"/>
      </w:pPr>
      <w:bookmarkStart w:id="36" w:name="slide-14-our-agreement-again"/>
      <w:r>
        <w:t xml:space="preserve">Slide 14: Our agreement, again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Curious, not disgusted</w:t>
      </w:r>
    </w:p>
    <w:p>
      <w:pPr>
        <w:numPr>
          <w:ilvl w:val="0"/>
          <w:numId w:val="1014"/>
        </w:numPr>
        <w:pStyle w:val="Compact"/>
      </w:pPr>
      <w:r>
        <w:t xml:space="preserve">Ask, do not assume</w:t>
      </w:r>
    </w:p>
    <w:p>
      <w:pPr>
        <w:numPr>
          <w:ilvl w:val="0"/>
          <w:numId w:val="1014"/>
        </w:numPr>
        <w:pStyle w:val="Compact"/>
      </w:pPr>
      <w:r>
        <w:t xml:space="preserve">No ranking</w:t>
      </w:r>
    </w:p>
    <w:p>
      <w:pPr>
        <w:numPr>
          <w:ilvl w:val="0"/>
          <w:numId w:val="1014"/>
        </w:numPr>
        <w:pStyle w:val="Compact"/>
      </w:pPr>
      <w:r>
        <w:t xml:space="preserve">Nobody has to be the expert on their own background</w:t>
      </w:r>
      <w:r>
        <w:t xml:space="preserve"> </w:t>
      </w:r>
      <w:r>
        <w:t xml:space="preserve">Notes: Up before the first presentation. One question per group from the class, and every question has to follow the agreement.</w:t>
      </w:r>
    </w:p>
    <w:p>
      <w:pPr>
        <w:pStyle w:val="Heading2"/>
      </w:pPr>
      <w:bookmarkStart w:id="37" w:name="slide-15-your-ninety-seconds-in-order"/>
      <w:r>
        <w:t xml:space="preserve">Slide 15: Your ninety seconds, in order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My dish is ___ from ___</w:t>
      </w:r>
    </w:p>
    <w:p>
      <w:pPr>
        <w:numPr>
          <w:ilvl w:val="0"/>
          <w:numId w:val="1015"/>
        </w:numPr>
        <w:pStyle w:val="Compact"/>
      </w:pPr>
      <w:r>
        <w:t xml:space="preserve">The main ingredients are ___</w:t>
      </w:r>
    </w:p>
    <w:p>
      <w:pPr>
        <w:numPr>
          <w:ilvl w:val="0"/>
          <w:numId w:val="1015"/>
        </w:numPr>
        <w:pStyle w:val="Compact"/>
      </w:pPr>
      <w:r>
        <w:t xml:space="preserve">It is cooked by ___</w:t>
      </w:r>
    </w:p>
    <w:p>
      <w:pPr>
        <w:numPr>
          <w:ilvl w:val="0"/>
          <w:numId w:val="1015"/>
        </w:numPr>
        <w:pStyle w:val="Compact"/>
      </w:pPr>
      <w:r>
        <w:t xml:space="preserve">It exists there because ___</w:t>
      </w:r>
    </w:p>
    <w:p>
      <w:pPr>
        <w:numPr>
          <w:ilvl w:val="0"/>
          <w:numId w:val="1015"/>
        </w:numPr>
        <w:pStyle w:val="Compact"/>
      </w:pPr>
      <w:r>
        <w:t xml:space="preserve">The thing that surprised me is ___</w:t>
      </w:r>
      <w:r>
        <w:t xml:space="preserve"> </w:t>
      </w:r>
      <w:r>
        <w:t xml:space="preserve">Notes: Visible timer. Run the presentations in rounds by form so the class hears three versions of the same form together.</w:t>
      </w:r>
    </w:p>
    <w:p>
      <w:pPr>
        <w:pStyle w:val="Heading2"/>
      </w:pPr>
      <w:bookmarkStart w:id="38" w:name="slide-16-same-different-why"/>
      <w:r>
        <w:t xml:space="preserve">Slide 16: Same, different, why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What is the same across all three?</w:t>
      </w:r>
    </w:p>
    <w:p>
      <w:pPr>
        <w:numPr>
          <w:ilvl w:val="0"/>
          <w:numId w:val="1016"/>
        </w:numPr>
        <w:pStyle w:val="Compact"/>
      </w:pPr>
      <w:r>
        <w:t xml:space="preserve">What is different?</w:t>
      </w:r>
    </w:p>
    <w:p>
      <w:pPr>
        <w:numPr>
          <w:ilvl w:val="0"/>
          <w:numId w:val="1016"/>
        </w:numPr>
        <w:pStyle w:val="Compact"/>
      </w:pPr>
      <w:r>
        <w:t xml:space="preserve">Why? Name at least two of the five factors</w:t>
      </w:r>
      <w:r>
        <w:t xml:space="preserve"> </w:t>
      </w:r>
      <w:r>
        <w:t xml:space="preserve">Notes: Write the</w:t>
      </w:r>
      <w:r>
        <w:t xml:space="preserve"> </w:t>
      </w:r>
      <w:r>
        <w:t xml:space="preserve">“</w:t>
      </w:r>
      <w:r>
        <w:t xml:space="preserve">same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different</w:t>
      </w:r>
      <w:r>
        <w:t xml:space="preserve">”</w:t>
      </w:r>
      <w:r>
        <w:t xml:space="preserve"> </w:t>
      </w:r>
      <w:r>
        <w:t xml:space="preserve">points on the board as they come out of the presentations. Push any answer that says</w:t>
      </w:r>
      <w:r>
        <w:t xml:space="preserve"> </w:t>
      </w:r>
      <w:r>
        <w:t xml:space="preserve">“</w:t>
      </w:r>
      <w:r>
        <w:t xml:space="preserve">because that is their culture</w:t>
      </w:r>
      <w:r>
        <w:t xml:space="preserve">”</w:t>
      </w:r>
      <w:r>
        <w:t xml:space="preserve"> </w:t>
      </w:r>
      <w:r>
        <w:t xml:space="preserve">back to a factor.</w:t>
      </w:r>
    </w:p>
    <w:p>
      <w:pPr>
        <w:pStyle w:val="Heading2"/>
      </w:pPr>
      <w:bookmarkStart w:id="39" w:name="slide-17-a-better-question"/>
      <w:r>
        <w:t xml:space="preserve">Slide 17: A better question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Not:</w:t>
      </w:r>
      <w:r>
        <w:t xml:space="preserve"> </w:t>
      </w:r>
      <w:r>
        <w:t xml:space="preserve">“</w:t>
      </w:r>
      <w:r>
        <w:t xml:space="preserve">do you actually eat that?</w:t>
      </w:r>
      <w:r>
        <w:t xml:space="preserve">”</w:t>
      </w:r>
    </w:p>
    <w:p>
      <w:pPr>
        <w:numPr>
          <w:ilvl w:val="0"/>
          <w:numId w:val="1017"/>
        </w:numPr>
        <w:pStyle w:val="Compact"/>
      </w:pPr>
      <w:r>
        <w:t xml:space="preserve">Better:</w:t>
      </w:r>
      <w:r>
        <w:t xml:space="preserve"> </w:t>
      </w:r>
      <w:r>
        <w:t xml:space="preserve">“</w:t>
      </w:r>
      <w:r>
        <w:t xml:space="preserve">what does it taste like?</w:t>
      </w:r>
      <w:r>
        <w:t xml:space="preserve">”</w:t>
      </w:r>
    </w:p>
    <w:p>
      <w:pPr>
        <w:numPr>
          <w:ilvl w:val="0"/>
          <w:numId w:val="1017"/>
        </w:numPr>
        <w:pStyle w:val="Compact"/>
      </w:pPr>
      <w:r>
        <w:t xml:space="preserve">Not:</w:t>
      </w:r>
      <w:r>
        <w:t xml:space="preserve"> </w:t>
      </w:r>
      <w:r>
        <w:t xml:space="preserve">“</w:t>
      </w:r>
      <w:r>
        <w:t xml:space="preserve">why is it like that?</w:t>
      </w:r>
      <w:r>
        <w:t xml:space="preserve">”</w:t>
      </w:r>
    </w:p>
    <w:p>
      <w:pPr>
        <w:numPr>
          <w:ilvl w:val="0"/>
          <w:numId w:val="1017"/>
        </w:numPr>
        <w:pStyle w:val="Compact"/>
      </w:pPr>
      <w:r>
        <w:t xml:space="preserve">Better:</w:t>
      </w:r>
      <w:r>
        <w:t xml:space="preserve"> </w:t>
      </w:r>
      <w:r>
        <w:t xml:space="preserve">“</w:t>
      </w:r>
      <w:r>
        <w:t xml:space="preserve">what grows there?</w:t>
      </w:r>
      <w:r>
        <w:t xml:space="preserve">”</w:t>
      </w:r>
      <w:r>
        <w:t xml:space="preserve"> </w:t>
      </w:r>
      <w:r>
        <w:t xml:space="preserve">Notes: If a question misses the agreement, rephrase it in front of the room, kindly and immediately, and move on.</w:t>
      </w:r>
    </w:p>
    <w:p>
      <w:pPr>
        <w:pStyle w:val="Heading2"/>
      </w:pPr>
      <w:bookmarkStart w:id="40" w:name="slide-18-the-tasting-if-we-are-doing-it"/>
      <w:r>
        <w:t xml:space="preserve">Slide 18: The tasting, if we are doing it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Store bought, packaged, labeled</w:t>
      </w:r>
    </w:p>
    <w:p>
      <w:pPr>
        <w:numPr>
          <w:ilvl w:val="0"/>
          <w:numId w:val="1018"/>
        </w:numPr>
        <w:pStyle w:val="Compact"/>
      </w:pPr>
      <w:r>
        <w:t xml:space="preserve">Every ingredient panel is taped beside its plate</w:t>
      </w:r>
    </w:p>
    <w:p>
      <w:pPr>
        <w:numPr>
          <w:ilvl w:val="0"/>
          <w:numId w:val="1018"/>
        </w:numPr>
        <w:pStyle w:val="Compact"/>
      </w:pPr>
      <w:r>
        <w:t xml:space="preserve">One piece each, own napkin, no double dipping</w:t>
      </w:r>
    </w:p>
    <w:p>
      <w:pPr>
        <w:numPr>
          <w:ilvl w:val="0"/>
          <w:numId w:val="1018"/>
        </w:numPr>
        <w:pStyle w:val="Compact"/>
      </w:pPr>
      <w:r>
        <w:t xml:space="preserve">A no-taste seat is always available and no reason is required</w:t>
      </w:r>
      <w:r>
        <w:t xml:space="preserve"> </w:t>
      </w:r>
      <w:r>
        <w:t xml:space="preserve">Notes: If one student in the room cannot safely eat any of the three, the tasting does not run and Day 2 is presentations plus the written comparison, which is the default version. Say that decision out loud without naming anybody.</w:t>
      </w:r>
    </w:p>
    <w:p>
      <w:pPr>
        <w:pStyle w:val="Heading2"/>
      </w:pPr>
      <w:bookmarkStart w:id="41" w:name="slide-19-if-we-are-not-tasting"/>
      <w:r>
        <w:t xml:space="preserve">Slide 19: If we are not tasting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The extension: pick a fourth everyday form that shows up in three cultures</w:t>
      </w:r>
    </w:p>
    <w:p>
      <w:pPr>
        <w:numPr>
          <w:ilvl w:val="0"/>
          <w:numId w:val="1019"/>
        </w:numPr>
        <w:pStyle w:val="Compact"/>
      </w:pPr>
      <w:r>
        <w:t xml:space="preserve">Name the form and the three versions</w:t>
      </w:r>
    </w:p>
    <w:p>
      <w:pPr>
        <w:numPr>
          <w:ilvl w:val="0"/>
          <w:numId w:val="1019"/>
        </w:numPr>
        <w:pStyle w:val="Compact"/>
      </w:pPr>
      <w:r>
        <w:t xml:space="preserve">One ingredient that makes each one local</w:t>
      </w:r>
    </w:p>
    <w:p>
      <w:pPr>
        <w:numPr>
          <w:ilvl w:val="0"/>
          <w:numId w:val="1019"/>
        </w:numPr>
        <w:pStyle w:val="Compact"/>
      </w:pPr>
      <w:r>
        <w:t xml:space="preserve">One sentence: why does this form show up everywhere?</w:t>
      </w:r>
      <w:r>
        <w:t xml:space="preserve"> </w:t>
      </w:r>
      <w:r>
        <w:t xml:space="preserve">Notes: This replaces the tasting with no loss to any objective.</w:t>
      </w:r>
    </w:p>
    <w:p>
      <w:pPr>
        <w:pStyle w:val="Heading2"/>
      </w:pPr>
      <w:bookmarkStart w:id="42" w:name="slide-20-closing-round"/>
      <w:r>
        <w:t xml:space="preserve">Slide 20: Closing round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One sentence per group: the thing you will remember</w:t>
      </w:r>
    </w:p>
    <w:p>
      <w:pPr>
        <w:numPr>
          <w:ilvl w:val="0"/>
          <w:numId w:val="1020"/>
        </w:numPr>
        <w:pStyle w:val="Compact"/>
      </w:pPr>
      <w:r>
        <w:t xml:space="preserve">Then: one thing I would try, and one question I still have</w:t>
      </w:r>
      <w:r>
        <w:t xml:space="preserve"> </w:t>
      </w:r>
      <w:r>
        <w:t xml:space="preserve">Notes: Keep the round to the agreement. Collect every comparison page at the door. If the tasting ran, keep the packages; the ingredient panels are a free Unit 1 label lesson.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2026-09-15T16:27:50Z</dcterms:created>
  <dcterms:modified xsi:type="dcterms:W3CDTF">2026-09-15T16:27:50Z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