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697ac9e7b5da1414389fff6a2e324064d48825"/>
      <w:r>
        <w:t xml:space="preserve">Slides 2.22: Education Roadmap and Career Research Card, and the Unit 2 Test</w:t>
      </w:r>
      <w:bookmarkEnd w:id="20"/>
    </w:p>
    <w:p>
      <w:pPr>
        <w:pStyle w:val="FirstParagraph"/>
      </w:pPr>
      <w:r>
        <w:t xml:space="preserve">Lesson 2.22, Unit 2. One period. Ten slides. Order is fixed: careers, then the final trading window, then the test.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What do you have to do after high school to become (a) a nurse, (b) an electrician, (c) a teacher?</w:t>
      </w:r>
    </w:p>
    <w:p>
      <w:pPr>
        <w:numPr>
          <w:ilvl w:val="0"/>
          <w:numId w:val="1001"/>
        </w:numPr>
        <w:pStyle w:val="Compact"/>
      </w:pPr>
      <w:r>
        <w:t xml:space="preserve">Your best guess for each. One line each.</w:t>
      </w:r>
    </w:p>
    <w:p>
      <w:pPr>
        <w:numPr>
          <w:ilvl w:val="0"/>
          <w:numId w:val="1001"/>
        </w:numPr>
        <w:pStyle w:val="Compact"/>
      </w:pPr>
      <w:r>
        <w:t xml:space="preserve">Two minutes.</w:t>
      </w:r>
    </w:p>
    <w:p>
      <w:pPr>
        <w:pStyle w:val="FirstParagraph"/>
      </w:pPr>
      <w:r>
        <w:t xml:space="preserve">Notes: Hands up for</w:t>
      </w:r>
      <w:r>
        <w:t xml:space="preserve"> </w:t>
      </w:r>
      <w:r>
        <w:t xml:space="preserve">“</w:t>
      </w:r>
      <w:r>
        <w:t xml:space="preserve">college for all three.</w:t>
      </w:r>
      <w:r>
        <w:t xml:space="preserve">”</w:t>
      </w:r>
      <w:r>
        <w:t xml:space="preserve"> </w:t>
      </w:r>
      <w:r>
        <w:t xml:space="preserve">The gap between the guess and Slide 2 is the lesson.</w:t>
      </w:r>
    </w:p>
    <w:p>
      <w:pPr>
        <w:pStyle w:val="Heading2"/>
      </w:pPr>
      <w:bookmarkStart w:id="22" w:name="slide-2-six-paths-after-high-school"/>
      <w:r>
        <w:t xml:space="preserve">Slide 2: Six paths after high school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 job with on-the-job training: days to months; the employer pays you while you learn.</w:t>
      </w:r>
    </w:p>
    <w:p>
      <w:pPr>
        <w:numPr>
          <w:ilvl w:val="0"/>
          <w:numId w:val="1002"/>
        </w:numPr>
        <w:pStyle w:val="Compact"/>
      </w:pPr>
      <w:r>
        <w:t xml:space="preserve">Apprenticeship: 3 to 5 years; paid to learn; little or no tuition.</w:t>
      </w:r>
    </w:p>
    <w:p>
      <w:pPr>
        <w:numPr>
          <w:ilvl w:val="0"/>
          <w:numId w:val="1002"/>
        </w:numPr>
        <w:pStyle w:val="Compact"/>
      </w:pPr>
      <w:r>
        <w:t xml:space="preserve">Certificate program: weeks to about a year; the cheapest school.</w:t>
      </w:r>
    </w:p>
    <w:p>
      <w:pPr>
        <w:numPr>
          <w:ilvl w:val="0"/>
          <w:numId w:val="1002"/>
        </w:numPr>
        <w:pStyle w:val="Compact"/>
      </w:pPr>
      <w:r>
        <w:t xml:space="preserve">Two-year degree (associate): 2 years; community college.</w:t>
      </w:r>
    </w:p>
    <w:p>
      <w:pPr>
        <w:numPr>
          <w:ilvl w:val="0"/>
          <w:numId w:val="1002"/>
        </w:numPr>
        <w:pStyle w:val="Compact"/>
      </w:pPr>
      <w:r>
        <w:t xml:space="preserve">Four-year degree (bachelor’s): 4 years; the most expensive path; often loans.</w:t>
      </w:r>
    </w:p>
    <w:p>
      <w:pPr>
        <w:numPr>
          <w:ilvl w:val="0"/>
          <w:numId w:val="1002"/>
        </w:numPr>
        <w:pStyle w:val="Compact"/>
      </w:pPr>
      <w:r>
        <w:t xml:space="preserve">Military: 4 to 8 years of service; paid and trained; college help after.</w:t>
      </w:r>
    </w:p>
    <w:p>
      <w:pPr>
        <w:pStyle w:val="FirstParagraph"/>
      </w:pPr>
      <w:r>
        <w:t xml:space="preserve">Image: six icons in a row: a name tag, a tool belt, a certificate, a calendar with a 2, a calendar with a 4, a uniform.</w:t>
      </w:r>
    </w:p>
    <w:p>
      <w:pPr>
        <w:pStyle w:val="BodyText"/>
      </w:pPr>
      <w:r>
        <w:t xml:space="preserve">Notes: Fill the Part 1 table on the handout as you go. One sentence and one job per path.</w:t>
      </w:r>
    </w:p>
    <w:p>
      <w:pPr>
        <w:pStyle w:val="Heading2"/>
      </w:pPr>
      <w:bookmarkStart w:id="23" w:name="slide-3-the-do-now-answered"/>
      <w:r>
        <w:t xml:space="preserve">Slide 3: The do now, answered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Nurse: a two-year or four-year degree, plus a state license.</w:t>
      </w:r>
    </w:p>
    <w:p>
      <w:pPr>
        <w:numPr>
          <w:ilvl w:val="0"/>
          <w:numId w:val="1003"/>
        </w:numPr>
        <w:pStyle w:val="Compact"/>
      </w:pPr>
      <w:r>
        <w:t xml:space="preserve">Electrician: an apprenticeship. Paid from the first summer after graduation. No loans.</w:t>
      </w:r>
    </w:p>
    <w:p>
      <w:pPr>
        <w:numPr>
          <w:ilvl w:val="0"/>
          <w:numId w:val="1003"/>
        </w:numPr>
        <w:pStyle w:val="Compact"/>
      </w:pPr>
      <w:r>
        <w:t xml:space="preserve">Teacher: a four-year degree, plus a state certificate.</w:t>
      </w:r>
    </w:p>
    <w:p>
      <w:pPr>
        <w:numPr>
          <w:ilvl w:val="0"/>
          <w:numId w:val="1003"/>
        </w:numPr>
        <w:pStyle w:val="Compact"/>
      </w:pPr>
      <w:r>
        <w:t xml:space="preserve">The rule: more school is not automatically better or worse. It is a trade of years and money for the job you want.</w:t>
      </w:r>
    </w:p>
    <w:p>
      <w:pPr>
        <w:pStyle w:val="FirstParagraph"/>
      </w:pPr>
      <w:r>
        <w:t xml:space="preserve">Notes:</w:t>
      </w:r>
      <w:r>
        <w:t xml:space="preserve"> </w:t>
      </w:r>
      <w:r>
        <w:t xml:space="preserve">“</w:t>
      </w:r>
      <w:r>
        <w:t xml:space="preserve">That is a decision. You have a model for decisions: name the choice, list options, weigh each against what matters, decide, look back.</w:t>
      </w:r>
      <w:r>
        <w:t xml:space="preserve">”</w:t>
      </w:r>
    </w:p>
    <w:p>
      <w:pPr>
        <w:pStyle w:val="Heading2"/>
      </w:pPr>
      <w:bookmarkStart w:id="24" w:name="slide-4-the-research-card"/>
      <w:r>
        <w:t xml:space="preserve">Slide 4: The research card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Pick one career from one of your top three clusters. Write the cluster number.</w:t>
      </w:r>
    </w:p>
    <w:p>
      <w:pPr>
        <w:numPr>
          <w:ilvl w:val="0"/>
          <w:numId w:val="1004"/>
        </w:numPr>
        <w:pStyle w:val="Compact"/>
      </w:pPr>
      <w:r>
        <w:t xml:space="preserve">Open the career resource:</w:t>
      </w:r>
      <w:r>
        <w:t xml:space="preserve"> </w:t>
      </w:r>
      <w:r>
        <w:rPr>
          <w:rStyle w:val="TeacherNote"/>
        </w:rPr>
        <w:t xml:space="preserve">[Sal: name it]</w:t>
      </w:r>
    </w:p>
    <w:p>
      <w:pPr>
        <w:numPr>
          <w:ilvl w:val="0"/>
          <w:numId w:val="1004"/>
        </w:numPr>
        <w:pStyle w:val="Compact"/>
      </w:pPr>
      <w:r>
        <w:t xml:space="preserve">Fill every field: three tasks, the path, pay range with the year of the source, a day in the life, the source, the verdict.</w:t>
      </w:r>
    </w:p>
    <w:p>
      <w:pPr>
        <w:numPr>
          <w:ilvl w:val="0"/>
          <w:numId w:val="1004"/>
        </w:numPr>
        <w:pStyle w:val="Compact"/>
      </w:pPr>
      <w:r>
        <w:t xml:space="preserve">No year on the pay range, no points.</w:t>
      </w:r>
    </w:p>
    <w:p>
      <w:pPr>
        <w:pStyle w:val="FirstParagraph"/>
      </w:pPr>
      <w:r>
        <w:t xml:space="preserve">Notes: Walk the worked example (Devon, dental hygienist) on the handout once. The field students skip is</w:t>
      </w:r>
      <w:r>
        <w:t xml:space="preserve"> </w:t>
      </w:r>
      <w:r>
        <w:t xml:space="preserve">“</w:t>
      </w:r>
      <w:r>
        <w:t xml:space="preserve">a day in the life.</w:t>
      </w:r>
      <w:r>
        <w:t xml:space="preserve">”</w:t>
      </w:r>
      <w:r>
        <w:t xml:space="preserve"> </w:t>
      </w:r>
      <w:r>
        <w:t xml:space="preserve">It is the field that changes minds.</w:t>
      </w:r>
    </w:p>
    <w:p>
      <w:pPr>
        <w:pStyle w:val="Heading2"/>
      </w:pPr>
      <w:bookmarkStart w:id="25" w:name="slide-5-the-verdict"/>
      <w:r>
        <w:t xml:space="preserve">Slide 5: The verdict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Does this career fit my top three? My two letters? My values?</w:t>
      </w:r>
    </w:p>
    <w:p>
      <w:pPr>
        <w:numPr>
          <w:ilvl w:val="0"/>
          <w:numId w:val="1005"/>
        </w:numPr>
        <w:pStyle w:val="Compact"/>
      </w:pPr>
      <w:r>
        <w:t xml:space="preserve">Circle Yes, Partly, or No.</w:t>
      </w:r>
    </w:p>
    <w:p>
      <w:pPr>
        <w:numPr>
          <w:ilvl w:val="0"/>
          <w:numId w:val="1005"/>
        </w:numPr>
        <w:pStyle w:val="Compact"/>
      </w:pPr>
      <w:r>
        <w:t xml:space="preserve">One reason for. One reason against.</w:t>
      </w:r>
    </w:p>
    <w:p>
      <w:pPr>
        <w:numPr>
          <w:ilvl w:val="0"/>
          <w:numId w:val="1005"/>
        </w:numPr>
        <w:pStyle w:val="Compact"/>
      </w:pPr>
      <w:r>
        <w:t xml:space="preserve">Finish at home if you need to. Due tomorrow.</w:t>
      </w:r>
    </w:p>
    <w:p>
      <w:pPr>
        <w:pStyle w:val="FirstParagraph"/>
      </w:pPr>
      <w:r>
        <w:t xml:space="preserve">Image: a two-column card with</w:t>
      </w:r>
      <w:r>
        <w:t xml:space="preserve"> </w:t>
      </w:r>
      <w:r>
        <w:t xml:space="preserve">“</w:t>
      </w:r>
      <w:r>
        <w:t xml:space="preserve">For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Against</w:t>
      </w:r>
      <w:r>
        <w:t xml:space="preserve">”</w:t>
      </w:r>
      <w:r>
        <w:t xml:space="preserve"> </w:t>
      </w:r>
      <w:r>
        <w:t xml:space="preserve">headings.</w:t>
      </w:r>
    </w:p>
    <w:p>
      <w:pPr>
        <w:pStyle w:val="BodyText"/>
      </w:pPr>
      <w:r>
        <w:t xml:space="preserve">Notes: Eight minutes total for Slides 4 and 5. Two-column clipboard check: chose from the top three; found the path on the source, not guessed.</w:t>
      </w:r>
    </w:p>
    <w:p>
      <w:pPr>
        <w:pStyle w:val="Heading2"/>
      </w:pPr>
      <w:bookmarkStart w:id="26" w:name="slide-6-final-trading-window"/>
      <w:r>
        <w:t xml:space="preserve">Slide 6: Final trading window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ClassroomStreet is open for the last time. Round 2, windows 55 to 60. Ten minutes.</w:t>
      </w:r>
    </w:p>
    <w:p>
      <w:pPr>
        <w:numPr>
          <w:ilvl w:val="0"/>
          <w:numId w:val="1006"/>
        </w:numPr>
        <w:pStyle w:val="Compact"/>
      </w:pPr>
      <w:r>
        <w:t xml:space="preserve">Read the final dispatch. Buy, sell, or hold.</w:t>
      </w:r>
    </w:p>
    <w:p>
      <w:pPr>
        <w:numPr>
          <w:ilvl w:val="0"/>
          <w:numId w:val="1006"/>
        </w:numPr>
        <w:pStyle w:val="Compact"/>
      </w:pPr>
      <w:r>
        <w:t xml:space="preserve">Write the Round 2, Day 3 line in your Investor Journal.</w:t>
      </w:r>
    </w:p>
    <w:p>
      <w:pPr>
        <w:numPr>
          <w:ilvl w:val="0"/>
          <w:numId w:val="1006"/>
        </w:numPr>
        <w:pStyle w:val="Compact"/>
      </w:pPr>
      <w:r>
        <w:t xml:space="preserve">At the reset cue, the leaderboard freezes. Round 2 standings go up tomorrow.</w:t>
      </w:r>
    </w:p>
    <w:p>
      <w:pPr>
        <w:pStyle w:val="FirstParagraph"/>
      </w:pPr>
      <w:r>
        <w:t xml:space="preserve">Notes: Say nothing else about standings today. Close devices; clear desks for the test.</w:t>
      </w:r>
    </w:p>
    <w:p>
      <w:pPr>
        <w:pStyle w:val="Heading2"/>
      </w:pPr>
      <w:bookmarkStart w:id="27" w:name="slide-7-before-the-test-one-review"/>
      <w:r>
        <w:t xml:space="preserve">Slide 7: Before the test, one review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rStyle w:val="TeacherNote"/>
        </w:rPr>
        <w:t xml:space="preserve">[Sal: three lines on the class’s weakest topic from the four checks; for most classes it is return math]</w:t>
      </w:r>
    </w:p>
    <w:p>
      <w:pPr>
        <w:numPr>
          <w:ilvl w:val="0"/>
          <w:numId w:val="1007"/>
        </w:numPr>
        <w:pStyle w:val="Compact"/>
      </w:pPr>
      <w:r>
        <w:t xml:space="preserve">Return in AQ = what you got back minus what you paid.</w:t>
      </w:r>
    </w:p>
    <w:p>
      <w:pPr>
        <w:numPr>
          <w:ilvl w:val="0"/>
          <w:numId w:val="1007"/>
        </w:numPr>
        <w:pStyle w:val="Compact"/>
      </w:pPr>
      <w:r>
        <w:t xml:space="preserve">Return as a percent = return divided by what you paid, times 100.</w:t>
      </w:r>
    </w:p>
    <w:p>
      <w:pPr>
        <w:numPr>
          <w:ilvl w:val="0"/>
          <w:numId w:val="1007"/>
        </w:numPr>
        <w:pStyle w:val="Compact"/>
      </w:pPr>
      <w:r>
        <w:t xml:space="preserve">30 seconds, then the test.</w:t>
      </w:r>
    </w:p>
    <w:p>
      <w:pPr>
        <w:pStyle w:val="FirstParagraph"/>
      </w:pPr>
      <w:r>
        <w:t xml:space="preserve">Notes: This is not a full review. The last three do nows were the review.</w:t>
      </w:r>
    </w:p>
    <w:p>
      <w:pPr>
        <w:pStyle w:val="Heading2"/>
      </w:pPr>
      <w:bookmarkStart w:id="28" w:name="slide-8-unit-2-test-directions"/>
      <w:r>
        <w:t xml:space="preserve">Slide 8: Unit 2 Test directions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20 items. 15 minutes. All five topics.</w:t>
      </w:r>
    </w:p>
    <w:p>
      <w:pPr>
        <w:numPr>
          <w:ilvl w:val="0"/>
          <w:numId w:val="1008"/>
        </w:numPr>
        <w:pStyle w:val="Compact"/>
      </w:pPr>
      <w:r>
        <w:t xml:space="preserve">Calculator for item 16 only.</w:t>
      </w:r>
    </w:p>
    <w:p>
      <w:pPr>
        <w:numPr>
          <w:ilvl w:val="0"/>
          <w:numId w:val="1008"/>
        </w:numPr>
        <w:pStyle w:val="Compact"/>
      </w:pPr>
      <w:r>
        <w:t xml:space="preserve">Show your work on item 16.</w:t>
      </w:r>
    </w:p>
    <w:p>
      <w:pPr>
        <w:numPr>
          <w:ilvl w:val="0"/>
          <w:numId w:val="1008"/>
        </w:numPr>
        <w:pStyle w:val="Compact"/>
      </w:pPr>
      <w:r>
        <w:t xml:space="preserve">Not sure? Write what you think and why.</w:t>
      </w:r>
    </w:p>
    <w:p>
      <w:pPr>
        <w:pStyle w:val="FirstParagraph"/>
      </w:pPr>
      <w:r>
        <w:t xml:space="preserve">Image: a large 15-minute countdown timer.</w:t>
      </w:r>
    </w:p>
    <w:p>
      <w:pPr>
        <w:pStyle w:val="Heading2"/>
      </w:pPr>
      <w:bookmarkStart w:id="29" w:name="slide-9-timer"/>
      <w:r>
        <w:t xml:space="preserve">Slide 9: Timer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15:00</w:t>
      </w:r>
    </w:p>
    <w:p>
      <w:pPr>
        <w:pStyle w:val="FirstParagraph"/>
      </w:pPr>
      <w:r>
        <w:t xml:space="preserve">Image: the countdown, full screen.</w:t>
      </w:r>
    </w:p>
    <w:p>
      <w:pPr>
        <w:pStyle w:val="Heading2"/>
      </w:pPr>
      <w:bookmarkStart w:id="30" w:name="slide-10-closure"/>
      <w:r>
        <w:t xml:space="preserve">Slide 10: Closure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Pass the test forward.</w:t>
      </w:r>
    </w:p>
    <w:p>
      <w:pPr>
        <w:numPr>
          <w:ilvl w:val="0"/>
          <w:numId w:val="1010"/>
        </w:numPr>
        <w:pStyle w:val="Compact"/>
      </w:pPr>
      <w:r>
        <w:t xml:space="preserve">On a sticky note on your research card: "The thing from this unit I will use first is ___."</w:t>
      </w:r>
    </w:p>
    <w:p>
      <w:pPr>
        <w:numPr>
          <w:ilvl w:val="0"/>
          <w:numId w:val="1010"/>
        </w:numPr>
        <w:pStyle w:val="Compact"/>
      </w:pPr>
      <w:r>
        <w:t xml:space="preserve">Research cards not finished are due tomorrow at the start of class.</w:t>
      </w:r>
    </w:p>
    <w:p>
      <w:pPr>
        <w:numPr>
          <w:ilvl w:val="0"/>
          <w:numId w:val="1010"/>
        </w:numPr>
        <w:pStyle w:val="Compact"/>
      </w:pPr>
      <w:r>
        <w:t xml:space="preserve">Tomorrow: Round 2 standings, a few journal lines read aloud, and Unit 3 begins.</w:t>
      </w:r>
    </w:p>
    <w:p>
      <w:pPr>
        <w:pStyle w:val="FirstParagraph"/>
      </w:pPr>
      <w:r>
        <w:t xml:space="preserve">Notes: One minute. Read two sticky notes aloud tomorrow with the standings.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