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2.19-paper-ledger"/>
      <w:r>
        <w:t xml:space="preserve">Handout 02.19: Paper Ledger</w:t>
      </w:r>
      <w:bookmarkEnd w:id="20"/>
    </w:p>
    <w:p>
      <w:pPr>
        <w:pStyle w:val="FirstParagraph"/>
      </w:pPr>
      <w:r>
        <w:t xml:space="preserve">Name: ______________________ Period: ______ Merchant number: ______ Start date: __________</w:t>
      </w:r>
    </w:p>
    <w:p>
      <w:pPr>
        <w:pStyle w:val="BodyText"/>
      </w:pPr>
      <w:r>
        <w:t xml:space="preserve">This is the no-device version of ClassroomStreet. The teacher is the market. Every class day the teacher reads the dispatch and posts the seven prices on the board. You update your ledger, make your trades on paper, and total your fortune. Your ledger is your proof; the Investor Report is written from it.</w:t>
      </w:r>
    </w:p>
    <w:p>
      <w:pPr>
        <w:pStyle w:val="BodyText"/>
      </w:pPr>
      <w:r>
        <w:rPr>
          <w:b/>
        </w:rPr>
        <w:t xml:space="preserve">The rules.</w:t>
      </w:r>
    </w:p>
    <w:p>
      <w:pPr>
        <w:numPr>
          <w:ilvl w:val="0"/>
          <w:numId w:val="1001"/>
        </w:numPr>
        <w:pStyle w:val="Compact"/>
      </w:pPr>
      <w:r>
        <w:t xml:space="preserve">You start with AQ25,000 cash and no units.</w:t>
      </w:r>
    </w:p>
    <w:p>
      <w:pPr>
        <w:numPr>
          <w:ilvl w:val="0"/>
          <w:numId w:val="1001"/>
        </w:numPr>
        <w:pStyle w:val="Compact"/>
      </w:pPr>
      <w:r>
        <w:t xml:space="preserve">Whole units only. Cash may never go below zero.</w:t>
      </w:r>
    </w:p>
    <w:p>
      <w:pPr>
        <w:numPr>
          <w:ilvl w:val="0"/>
          <w:numId w:val="1001"/>
        </w:numPr>
        <w:pStyle w:val="Compact"/>
      </w:pPr>
      <w:r>
        <w:t xml:space="preserve">A buy: cash goes down by units times price. Units go up.</w:t>
      </w:r>
    </w:p>
    <w:p>
      <w:pPr>
        <w:numPr>
          <w:ilvl w:val="0"/>
          <w:numId w:val="1001"/>
        </w:numPr>
        <w:pStyle w:val="Compact"/>
      </w:pPr>
      <w:r>
        <w:t xml:space="preserve">A sell: cash goes up by units times price. Units go down. You cannot sell units you do not hold.</w:t>
      </w:r>
    </w:p>
    <w:p>
      <w:pPr>
        <w:numPr>
          <w:ilvl w:val="0"/>
          <w:numId w:val="1001"/>
        </w:numPr>
        <w:pStyle w:val="Compact"/>
      </w:pPr>
      <w:r>
        <w:t xml:space="preserve">Every trade goes in the trade log, in order, the moment you make it.</w:t>
      </w:r>
    </w:p>
    <w:p>
      <w:pPr>
        <w:numPr>
          <w:ilvl w:val="0"/>
          <w:numId w:val="1001"/>
        </w:numPr>
        <w:pStyle w:val="Compact"/>
      </w:pPr>
      <w:r>
        <w:t xml:space="preserve">At the end of every day, fill in the daily fortune table: cash, plus the value of every venture you hold (units times today’s price), equals total fortune.</w:t>
      </w:r>
    </w:p>
    <w:p>
      <w:pPr>
        <w:numPr>
          <w:ilvl w:val="0"/>
          <w:numId w:val="1001"/>
        </w:numPr>
        <w:pStyle w:val="Compact"/>
      </w:pPr>
      <w:r>
        <w:t xml:space="preserve">The teacher initials the day’s total.</w:t>
      </w:r>
    </w:p>
    <w:p>
      <w:pPr>
        <w:pStyle w:val="Heading2"/>
      </w:pPr>
      <w:bookmarkStart w:id="21" w:name="section-a-trade-log"/>
      <w:r>
        <w:t xml:space="preserve">Section A: Trade log</w:t>
      </w:r>
      <w:bookmarkEnd w:id="21"/>
    </w:p>
    <w:tbl>
      <w:tblPr>
        <w:tblStyle w:val="Table"/>
        <w:tblW w:type="pct" w:w="5000.0"/>
        <w:tblLook w:firstRow="1"/>
      </w:tblPr>
      <w:tblGrid>
        <w:gridCol w:w="990"/>
        <w:gridCol w:w="990"/>
        <w:gridCol w:w="990"/>
        <w:gridCol w:w="990"/>
        <w:gridCol w:w="990"/>
        <w:gridCol w:w="990"/>
        <w:gridCol w:w="990"/>
        <w:gridCol w:w="990"/>
      </w:tblGrid>
      <w:tr>
        <w:trPr>
          <w:cnfStyle w:firstRow="1"/>
        </w:trPr>
        <w:tc>
          <w:tcPr>
            <w:tcBorders>
              <w:bottom w:val="single"/>
            </w:tcBorders>
            <w:vAlign w:val="bottom"/>
          </w:tcPr>
          <w:p>
            <w:pPr>
              <w:pStyle w:val="Compact"/>
              <w:jc w:val="left"/>
            </w:pPr>
            <w:r>
              <w:t xml:space="preserve">#</w:t>
            </w:r>
          </w:p>
        </w:tc>
        <w:tc>
          <w:tcPr>
            <w:tcBorders>
              <w:bottom w:val="single"/>
            </w:tcBorders>
            <w:vAlign w:val="bottom"/>
          </w:tcPr>
          <w:p>
            <w:pPr>
              <w:pStyle w:val="Compact"/>
              <w:jc w:val="left"/>
            </w:pPr>
            <w:r>
              <w:t xml:space="preserve">Day</w:t>
            </w:r>
          </w:p>
        </w:tc>
        <w:tc>
          <w:tcPr>
            <w:tcBorders>
              <w:bottom w:val="single"/>
            </w:tcBorders>
            <w:vAlign w:val="bottom"/>
          </w:tcPr>
          <w:p>
            <w:pPr>
              <w:pStyle w:val="Compact"/>
              <w:jc w:val="left"/>
            </w:pPr>
            <w:r>
              <w:t xml:space="preserve">Ticker</w:t>
            </w:r>
          </w:p>
        </w:tc>
        <w:tc>
          <w:tcPr>
            <w:tcBorders>
              <w:bottom w:val="single"/>
            </w:tcBorders>
            <w:vAlign w:val="bottom"/>
          </w:tcPr>
          <w:p>
            <w:pPr>
              <w:pStyle w:val="Compact"/>
              <w:jc w:val="left"/>
            </w:pPr>
            <w:r>
              <w:t xml:space="preserve">Buy or sell</w:t>
            </w:r>
          </w:p>
        </w:tc>
        <w:tc>
          <w:tcPr>
            <w:tcBorders>
              <w:bottom w:val="single"/>
            </w:tcBorders>
            <w:vAlign w:val="bottom"/>
          </w:tcPr>
          <w:p>
            <w:pPr>
              <w:pStyle w:val="Compact"/>
              <w:jc w:val="left"/>
            </w:pPr>
            <w:r>
              <w:t xml:space="preserve">Units</w:t>
            </w:r>
          </w:p>
        </w:tc>
        <w:tc>
          <w:tcPr>
            <w:tcBorders>
              <w:bottom w:val="single"/>
            </w:tcBorders>
            <w:vAlign w:val="bottom"/>
          </w:tcPr>
          <w:p>
            <w:pPr>
              <w:pStyle w:val="Compact"/>
              <w:jc w:val="left"/>
            </w:pPr>
            <w:r>
              <w:t xml:space="preserve">Price (from the board)</w:t>
            </w:r>
          </w:p>
        </w:tc>
        <w:tc>
          <w:tcPr>
            <w:tcBorders>
              <w:bottom w:val="single"/>
            </w:tcBorders>
            <w:vAlign w:val="bottom"/>
          </w:tcPr>
          <w:p>
            <w:pPr>
              <w:pStyle w:val="Compact"/>
              <w:jc w:val="left"/>
            </w:pPr>
            <w:r>
              <w:t xml:space="preserve">Units x price = AQ</w:t>
            </w:r>
          </w:p>
        </w:tc>
        <w:tc>
          <w:tcPr>
            <w:tcBorders>
              <w:bottom w:val="single"/>
            </w:tcBorders>
            <w:vAlign w:val="bottom"/>
          </w:tcPr>
          <w:p>
            <w:pPr>
              <w:pStyle w:val="Compact"/>
              <w:jc w:val="left"/>
            </w:pPr>
            <w:r>
              <w:t xml:space="preserve">Cash after this trade</w:t>
            </w:r>
          </w:p>
        </w:tc>
      </w:tr>
      <w:tr>
        <w:tc>
          <w:p>
            <w:pPr>
              <w:pStyle w:val="Compact"/>
              <w:jc w:val="left"/>
            </w:pPr>
            <w:r>
              <w:t xml:space="preserve">1</w:t>
            </w:r>
          </w:p>
        </w:tc>
        <w:tc>
          <w:p/>
        </w:tc>
        <w:tc>
          <w:p/>
        </w:tc>
        <w:tc>
          <w:p/>
        </w:tc>
        <w:tc>
          <w:p/>
        </w:tc>
        <w:tc>
          <w:p/>
        </w:tc>
        <w:tc>
          <w:p/>
        </w:tc>
        <w:tc>
          <w:p/>
        </w:tc>
      </w:tr>
      <w:tr>
        <w:tc>
          <w:p>
            <w:pPr>
              <w:pStyle w:val="Compact"/>
              <w:jc w:val="left"/>
            </w:pPr>
            <w:r>
              <w:t xml:space="preserve">2</w:t>
            </w:r>
          </w:p>
        </w:tc>
        <w:tc>
          <w:p/>
        </w:tc>
        <w:tc>
          <w:p/>
        </w:tc>
        <w:tc>
          <w:p/>
        </w:tc>
        <w:tc>
          <w:p/>
        </w:tc>
        <w:tc>
          <w:p/>
        </w:tc>
        <w:tc>
          <w:p/>
        </w:tc>
        <w:tc>
          <w:p/>
        </w:tc>
      </w:tr>
      <w:tr>
        <w:tc>
          <w:p>
            <w:pPr>
              <w:pStyle w:val="Compact"/>
              <w:jc w:val="left"/>
            </w:pPr>
            <w:r>
              <w:t xml:space="preserve">3</w:t>
            </w:r>
          </w:p>
        </w:tc>
        <w:tc>
          <w:p/>
        </w:tc>
        <w:tc>
          <w:p/>
        </w:tc>
        <w:tc>
          <w:p/>
        </w:tc>
        <w:tc>
          <w:p/>
        </w:tc>
        <w:tc>
          <w:p/>
        </w:tc>
        <w:tc>
          <w:p/>
        </w:tc>
        <w:tc>
          <w:p/>
        </w:tc>
      </w:tr>
      <w:tr>
        <w:tc>
          <w:p>
            <w:pPr>
              <w:pStyle w:val="Compact"/>
              <w:jc w:val="left"/>
            </w:pPr>
            <w:r>
              <w:t xml:space="preserve">4</w:t>
            </w:r>
          </w:p>
        </w:tc>
        <w:tc>
          <w:p/>
        </w:tc>
        <w:tc>
          <w:p/>
        </w:tc>
        <w:tc>
          <w:p/>
        </w:tc>
        <w:tc>
          <w:p/>
        </w:tc>
        <w:tc>
          <w:p/>
        </w:tc>
        <w:tc>
          <w:p/>
        </w:tc>
        <w:tc>
          <w:p/>
        </w:tc>
      </w:tr>
      <w:tr>
        <w:tc>
          <w:p>
            <w:pPr>
              <w:pStyle w:val="Compact"/>
              <w:jc w:val="left"/>
            </w:pPr>
            <w:r>
              <w:t xml:space="preserve">5</w:t>
            </w:r>
          </w:p>
        </w:tc>
        <w:tc>
          <w:p/>
        </w:tc>
        <w:tc>
          <w:p/>
        </w:tc>
        <w:tc>
          <w:p/>
        </w:tc>
        <w:tc>
          <w:p/>
        </w:tc>
        <w:tc>
          <w:p/>
        </w:tc>
        <w:tc>
          <w:p/>
        </w:tc>
        <w:tc>
          <w:p/>
        </w:tc>
      </w:tr>
      <w:tr>
        <w:tc>
          <w:p>
            <w:pPr>
              <w:pStyle w:val="Compact"/>
              <w:jc w:val="left"/>
            </w:pPr>
            <w:r>
              <w:t xml:space="preserve">6</w:t>
            </w:r>
          </w:p>
        </w:tc>
        <w:tc>
          <w:p/>
        </w:tc>
        <w:tc>
          <w:p/>
        </w:tc>
        <w:tc>
          <w:p/>
        </w:tc>
        <w:tc>
          <w:p/>
        </w:tc>
        <w:tc>
          <w:p/>
        </w:tc>
        <w:tc>
          <w:p/>
        </w:tc>
        <w:tc>
          <w:p/>
        </w:tc>
      </w:tr>
      <w:tr>
        <w:tc>
          <w:p>
            <w:pPr>
              <w:pStyle w:val="Compact"/>
              <w:jc w:val="left"/>
            </w:pPr>
            <w:r>
              <w:t xml:space="preserve">7</w:t>
            </w:r>
          </w:p>
        </w:tc>
        <w:tc>
          <w:p/>
        </w:tc>
        <w:tc>
          <w:p/>
        </w:tc>
        <w:tc>
          <w:p/>
        </w:tc>
        <w:tc>
          <w:p/>
        </w:tc>
        <w:tc>
          <w:p/>
        </w:tc>
        <w:tc>
          <w:p/>
        </w:tc>
        <w:tc>
          <w:p/>
        </w:tc>
      </w:tr>
      <w:tr>
        <w:tc>
          <w:p>
            <w:pPr>
              <w:pStyle w:val="Compact"/>
              <w:jc w:val="left"/>
            </w:pPr>
            <w:r>
              <w:t xml:space="preserve">8</w:t>
            </w:r>
          </w:p>
        </w:tc>
        <w:tc>
          <w:p/>
        </w:tc>
        <w:tc>
          <w:p/>
        </w:tc>
        <w:tc>
          <w:p/>
        </w:tc>
        <w:tc>
          <w:p/>
        </w:tc>
        <w:tc>
          <w:p/>
        </w:tc>
        <w:tc>
          <w:p/>
        </w:tc>
        <w:tc>
          <w:p/>
        </w:tc>
      </w:tr>
      <w:tr>
        <w:tc>
          <w:p>
            <w:pPr>
              <w:pStyle w:val="Compact"/>
              <w:jc w:val="left"/>
            </w:pPr>
            <w:r>
              <w:t xml:space="preserve">9</w:t>
            </w:r>
          </w:p>
        </w:tc>
        <w:tc>
          <w:p/>
        </w:tc>
        <w:tc>
          <w:p/>
        </w:tc>
        <w:tc>
          <w:p/>
        </w:tc>
        <w:tc>
          <w:p/>
        </w:tc>
        <w:tc>
          <w:p/>
        </w:tc>
        <w:tc>
          <w:p/>
        </w:tc>
        <w:tc>
          <w:p/>
        </w:tc>
      </w:tr>
      <w:tr>
        <w:tc>
          <w:p>
            <w:pPr>
              <w:pStyle w:val="Compact"/>
              <w:jc w:val="left"/>
            </w:pPr>
            <w:r>
              <w:t xml:space="preserve">10</w:t>
            </w:r>
          </w:p>
        </w:tc>
        <w:tc>
          <w:p/>
        </w:tc>
        <w:tc>
          <w:p/>
        </w:tc>
        <w:tc>
          <w:p/>
        </w:tc>
        <w:tc>
          <w:p/>
        </w:tc>
        <w:tc>
          <w:p/>
        </w:tc>
        <w:tc>
          <w:p/>
        </w:tc>
        <w:tc>
          <w:p/>
        </w:tc>
      </w:tr>
      <w:tr>
        <w:tc>
          <w:p>
            <w:pPr>
              <w:pStyle w:val="Compact"/>
              <w:jc w:val="left"/>
            </w:pPr>
            <w:r>
              <w:t xml:space="preserve">11</w:t>
            </w:r>
          </w:p>
        </w:tc>
        <w:tc>
          <w:p/>
        </w:tc>
        <w:tc>
          <w:p/>
        </w:tc>
        <w:tc>
          <w:p/>
        </w:tc>
        <w:tc>
          <w:p/>
        </w:tc>
        <w:tc>
          <w:p/>
        </w:tc>
        <w:tc>
          <w:p/>
        </w:tc>
        <w:tc>
          <w:p/>
        </w:tc>
      </w:tr>
      <w:tr>
        <w:tc>
          <w:p>
            <w:pPr>
              <w:pStyle w:val="Compact"/>
              <w:jc w:val="left"/>
            </w:pPr>
            <w:r>
              <w:t xml:space="preserve">12</w:t>
            </w:r>
          </w:p>
        </w:tc>
        <w:tc>
          <w:p/>
        </w:tc>
        <w:tc>
          <w:p/>
        </w:tc>
        <w:tc>
          <w:p/>
        </w:tc>
        <w:tc>
          <w:p/>
        </w:tc>
        <w:tc>
          <w:p/>
        </w:tc>
        <w:tc>
          <w:p/>
        </w:tc>
        <w:tc>
          <w:p/>
        </w:tc>
      </w:tr>
      <w:tr>
        <w:tc>
          <w:p>
            <w:pPr>
              <w:pStyle w:val="Compact"/>
              <w:jc w:val="left"/>
            </w:pPr>
            <w:r>
              <w:t xml:space="preserve">13</w:t>
            </w:r>
          </w:p>
        </w:tc>
        <w:tc>
          <w:p/>
        </w:tc>
        <w:tc>
          <w:p/>
        </w:tc>
        <w:tc>
          <w:p/>
        </w:tc>
        <w:tc>
          <w:p/>
        </w:tc>
        <w:tc>
          <w:p/>
        </w:tc>
        <w:tc>
          <w:p/>
        </w:tc>
        <w:tc>
          <w:p/>
        </w:tc>
      </w:tr>
      <w:tr>
        <w:tc>
          <w:p>
            <w:pPr>
              <w:pStyle w:val="Compact"/>
              <w:jc w:val="left"/>
            </w:pPr>
            <w:r>
              <w:t xml:space="preserve">14</w:t>
            </w:r>
          </w:p>
        </w:tc>
        <w:tc>
          <w:p/>
        </w:tc>
        <w:tc>
          <w:p/>
        </w:tc>
        <w:tc>
          <w:p/>
        </w:tc>
        <w:tc>
          <w:p/>
        </w:tc>
        <w:tc>
          <w:p/>
        </w:tc>
        <w:tc>
          <w:p/>
        </w:tc>
        <w:tc>
          <w:p/>
        </w:tc>
      </w:tr>
      <w:tr>
        <w:tc>
          <w:p>
            <w:pPr>
              <w:pStyle w:val="Compact"/>
              <w:jc w:val="left"/>
            </w:pPr>
            <w:r>
              <w:t xml:space="preserve">15</w:t>
            </w:r>
          </w:p>
        </w:tc>
        <w:tc>
          <w:p/>
        </w:tc>
        <w:tc>
          <w:p/>
        </w:tc>
        <w:tc>
          <w:p/>
        </w:tc>
        <w:tc>
          <w:p/>
        </w:tc>
        <w:tc>
          <w:p/>
        </w:tc>
        <w:tc>
          <w:p/>
        </w:tc>
        <w:tc>
          <w:p/>
        </w:tc>
      </w:tr>
      <w:tr>
        <w:tc>
          <w:p>
            <w:pPr>
              <w:pStyle w:val="Compact"/>
              <w:jc w:val="left"/>
            </w:pPr>
            <w:r>
              <w:t xml:space="preserve">16</w:t>
            </w:r>
          </w:p>
        </w:tc>
        <w:tc>
          <w:p/>
        </w:tc>
        <w:tc>
          <w:p/>
        </w:tc>
        <w:tc>
          <w:p/>
        </w:tc>
        <w:tc>
          <w:p/>
        </w:tc>
        <w:tc>
          <w:p/>
        </w:tc>
        <w:tc>
          <w:p/>
        </w:tc>
        <w:tc>
          <w:p/>
        </w:tc>
      </w:tr>
      <w:tr>
        <w:tc>
          <w:p>
            <w:pPr>
              <w:pStyle w:val="Compact"/>
              <w:jc w:val="left"/>
            </w:pPr>
            <w:r>
              <w:t xml:space="preserve">17</w:t>
            </w:r>
          </w:p>
        </w:tc>
        <w:tc>
          <w:p/>
        </w:tc>
        <w:tc>
          <w:p/>
        </w:tc>
        <w:tc>
          <w:p/>
        </w:tc>
        <w:tc>
          <w:p/>
        </w:tc>
        <w:tc>
          <w:p/>
        </w:tc>
        <w:tc>
          <w:p/>
        </w:tc>
        <w:tc>
          <w:p/>
        </w:tc>
      </w:tr>
      <w:tr>
        <w:tc>
          <w:p>
            <w:pPr>
              <w:pStyle w:val="Compact"/>
              <w:jc w:val="left"/>
            </w:pPr>
            <w:r>
              <w:t xml:space="preserve">18</w:t>
            </w:r>
          </w:p>
        </w:tc>
        <w:tc>
          <w:p/>
        </w:tc>
        <w:tc>
          <w:p/>
        </w:tc>
        <w:tc>
          <w:p/>
        </w:tc>
        <w:tc>
          <w:p/>
        </w:tc>
        <w:tc>
          <w:p/>
        </w:tc>
        <w:tc>
          <w:p/>
        </w:tc>
        <w:tc>
          <w:p/>
        </w:tc>
      </w:tr>
      <w:tr>
        <w:tc>
          <w:p>
            <w:pPr>
              <w:pStyle w:val="Compact"/>
              <w:jc w:val="left"/>
            </w:pPr>
            <w:r>
              <w:t xml:space="preserve">19</w:t>
            </w:r>
          </w:p>
        </w:tc>
        <w:tc>
          <w:p/>
        </w:tc>
        <w:tc>
          <w:p/>
        </w:tc>
        <w:tc>
          <w:p/>
        </w:tc>
        <w:tc>
          <w:p/>
        </w:tc>
        <w:tc>
          <w:p/>
        </w:tc>
        <w:tc>
          <w:p/>
        </w:tc>
        <w:tc>
          <w:p/>
        </w:tc>
      </w:tr>
      <w:tr>
        <w:tc>
          <w:p>
            <w:pPr>
              <w:pStyle w:val="Compact"/>
              <w:jc w:val="left"/>
            </w:pPr>
            <w:r>
              <w:t xml:space="preserve">20</w:t>
            </w:r>
          </w:p>
        </w:tc>
        <w:tc>
          <w:p/>
        </w:tc>
        <w:tc>
          <w:p/>
        </w:tc>
        <w:tc>
          <w:p/>
        </w:tc>
        <w:tc>
          <w:p/>
        </w:tc>
        <w:tc>
          <w:p/>
        </w:tc>
        <w:tc>
          <w:p/>
        </w:tc>
        <w:tc>
          <w:p/>
        </w:tc>
      </w:tr>
    </w:tbl>
    <w:p>
      <w:pPr>
        <w:pStyle w:val="BodyText"/>
      </w:pPr>
      <w:r>
        <w:t xml:space="preserve">(Ask for a second sheet if you fill this one.)</w:t>
      </w:r>
    </w:p>
    <w:p>
      <w:pPr>
        <w:pStyle w:val="Heading2"/>
      </w:pPr>
      <w:bookmarkStart w:id="22" w:name="Xad186dbb4dd4d559afed04a1dcc599a8a93c7ec"/>
      <w:r>
        <w:t xml:space="preserve">Section B: Units I hold at the end of each day</w:t>
      </w:r>
      <w:bookmarkEnd w:id="22"/>
    </w:p>
    <w:p>
      <w:pPr>
        <w:pStyle w:val="FirstParagraph"/>
      </w:pPr>
      <w:r>
        <w:t xml:space="preserve">Copy the number forward every day, even if it did not change.</w:t>
      </w:r>
    </w:p>
    <w:tbl>
      <w:tblPr>
        <w:tblStyle w:val="Table"/>
        <w:tblW w:type="pct" w:w="4999.999999999999"/>
        <w:tblLook w:firstRow="1"/>
      </w:tblPr>
      <w:tblGrid>
        <w:gridCol w:w="609"/>
        <w:gridCol w:w="609"/>
        <w:gridCol w:w="609"/>
        <w:gridCol w:w="609"/>
        <w:gridCol w:w="609"/>
        <w:gridCol w:w="609"/>
        <w:gridCol w:w="609"/>
        <w:gridCol w:w="609"/>
        <w:gridCol w:w="609"/>
        <w:gridCol w:w="609"/>
        <w:gridCol w:w="609"/>
        <w:gridCol w:w="609"/>
        <w:gridCol w:w="609"/>
      </w:tblGrid>
      <w:tr>
        <w:trPr>
          <w:cnfStyle w:firstRow="1"/>
        </w:trPr>
        <w:tc>
          <w:tcPr>
            <w:tcBorders>
              <w:bottom w:val="single"/>
            </w:tcBorders>
            <w:vAlign w:val="bottom"/>
          </w:tcPr>
          <w:p>
            <w:pPr>
              <w:pStyle w:val="Compact"/>
              <w:jc w:val="left"/>
            </w:pPr>
            <w:r>
              <w:t xml:space="preserve">Ticker</w:t>
            </w:r>
          </w:p>
        </w:tc>
        <w:tc>
          <w:tcPr>
            <w:tcBorders>
              <w:bottom w:val="single"/>
            </w:tcBorders>
            <w:vAlign w:val="bottom"/>
          </w:tcPr>
          <w:p>
            <w:pPr>
              <w:pStyle w:val="Compact"/>
              <w:jc w:val="left"/>
            </w:pPr>
            <w:r>
              <w:t xml:space="preserve">Day 1</w:t>
            </w:r>
          </w:p>
        </w:tc>
        <w:tc>
          <w:tcPr>
            <w:tcBorders>
              <w:bottom w:val="single"/>
            </w:tcBorders>
            <w:vAlign w:val="bottom"/>
          </w:tcPr>
          <w:p>
            <w:pPr>
              <w:pStyle w:val="Compact"/>
              <w:jc w:val="left"/>
            </w:pPr>
            <w:r>
              <w:t xml:space="preserve">Day 2</w:t>
            </w:r>
          </w:p>
        </w:tc>
        <w:tc>
          <w:tcPr>
            <w:tcBorders>
              <w:bottom w:val="single"/>
            </w:tcBorders>
            <w:vAlign w:val="bottom"/>
          </w:tcPr>
          <w:p>
            <w:pPr>
              <w:pStyle w:val="Compact"/>
              <w:jc w:val="left"/>
            </w:pPr>
            <w:r>
              <w:t xml:space="preserve">Day 3</w:t>
            </w:r>
          </w:p>
        </w:tc>
        <w:tc>
          <w:tcPr>
            <w:tcBorders>
              <w:bottom w:val="single"/>
            </w:tcBorders>
            <w:vAlign w:val="bottom"/>
          </w:tcPr>
          <w:p>
            <w:pPr>
              <w:pStyle w:val="Compact"/>
              <w:jc w:val="left"/>
            </w:pPr>
            <w:r>
              <w:t xml:space="preserve">Day 4</w:t>
            </w:r>
          </w:p>
        </w:tc>
        <w:tc>
          <w:tcPr>
            <w:tcBorders>
              <w:bottom w:val="single"/>
            </w:tcBorders>
            <w:vAlign w:val="bottom"/>
          </w:tcPr>
          <w:p>
            <w:pPr>
              <w:pStyle w:val="Compact"/>
              <w:jc w:val="left"/>
            </w:pPr>
            <w:r>
              <w:t xml:space="preserve">Day 5</w:t>
            </w:r>
          </w:p>
        </w:tc>
        <w:tc>
          <w:tcPr>
            <w:tcBorders>
              <w:bottom w:val="single"/>
            </w:tcBorders>
            <w:vAlign w:val="bottom"/>
          </w:tcPr>
          <w:p>
            <w:pPr>
              <w:pStyle w:val="Compact"/>
              <w:jc w:val="left"/>
            </w:pPr>
            <w:r>
              <w:t xml:space="preserve">Day 6</w:t>
            </w:r>
          </w:p>
        </w:tc>
        <w:tc>
          <w:tcPr>
            <w:tcBorders>
              <w:bottom w:val="single"/>
            </w:tcBorders>
            <w:vAlign w:val="bottom"/>
          </w:tcPr>
          <w:p>
            <w:pPr>
              <w:pStyle w:val="Compact"/>
              <w:jc w:val="left"/>
            </w:pPr>
            <w:r>
              <w:t xml:space="preserve">Day 7</w:t>
            </w:r>
          </w:p>
        </w:tc>
        <w:tc>
          <w:tcPr>
            <w:tcBorders>
              <w:bottom w:val="single"/>
            </w:tcBorders>
            <w:vAlign w:val="bottom"/>
          </w:tcPr>
          <w:p>
            <w:pPr>
              <w:pStyle w:val="Compact"/>
              <w:jc w:val="left"/>
            </w:pPr>
            <w:r>
              <w:t xml:space="preserve">Day 8</w:t>
            </w:r>
          </w:p>
        </w:tc>
        <w:tc>
          <w:tcPr>
            <w:tcBorders>
              <w:bottom w:val="single"/>
            </w:tcBorders>
            <w:vAlign w:val="bottom"/>
          </w:tcPr>
          <w:p>
            <w:pPr>
              <w:pStyle w:val="Compact"/>
              <w:jc w:val="left"/>
            </w:pPr>
            <w:r>
              <w:t xml:space="preserve">Day 9 (close)</w:t>
            </w:r>
          </w:p>
        </w:tc>
        <w:tc>
          <w:tcPr>
            <w:tcBorders>
              <w:bottom w:val="single"/>
            </w:tcBorders>
            <w:vAlign w:val="bottom"/>
          </w:tcPr>
          <w:p>
            <w:pPr>
              <w:pStyle w:val="Compact"/>
              <w:jc w:val="left"/>
            </w:pPr>
            <w:r>
              <w:t xml:space="preserve">R2 Day 1</w:t>
            </w:r>
          </w:p>
        </w:tc>
        <w:tc>
          <w:tcPr>
            <w:tcBorders>
              <w:bottom w:val="single"/>
            </w:tcBorders>
            <w:vAlign w:val="bottom"/>
          </w:tcPr>
          <w:p>
            <w:pPr>
              <w:pStyle w:val="Compact"/>
              <w:jc w:val="left"/>
            </w:pPr>
            <w:r>
              <w:t xml:space="preserve">R2 Day 2</w:t>
            </w:r>
          </w:p>
        </w:tc>
        <w:tc>
          <w:tcPr>
            <w:tcBorders>
              <w:bottom w:val="single"/>
            </w:tcBorders>
            <w:vAlign w:val="bottom"/>
          </w:tcPr>
          <w:p>
            <w:pPr>
              <w:pStyle w:val="Compact"/>
              <w:jc w:val="left"/>
            </w:pPr>
            <w:r>
              <w:t xml:space="preserve">R2 Day 3</w:t>
            </w:r>
          </w:p>
        </w:tc>
      </w:tr>
      <w:tr>
        <w:tc>
          <w:p>
            <w:pPr>
              <w:pStyle w:val="Compact"/>
              <w:jc w:val="left"/>
            </w:pPr>
            <w:r>
              <w:t xml:space="preserve">SPRK</w:t>
            </w:r>
          </w:p>
        </w:tc>
        <w:tc>
          <w:p/>
        </w:tc>
        <w:tc>
          <w:p/>
        </w:tc>
        <w:tc>
          <w:p/>
        </w:tc>
        <w:tc>
          <w:p/>
        </w:tc>
        <w:tc>
          <w:p/>
        </w:tc>
        <w:tc>
          <w:p/>
        </w:tc>
        <w:tc>
          <w:p/>
        </w:tc>
        <w:tc>
          <w:p/>
        </w:tc>
        <w:tc>
          <w:p/>
        </w:tc>
        <w:tc>
          <w:p/>
        </w:tc>
        <w:tc>
          <w:p/>
        </w:tc>
        <w:tc>
          <w:p/>
        </w:tc>
      </w:tr>
      <w:tr>
        <w:tc>
          <w:p>
            <w:pPr>
              <w:pStyle w:val="Compact"/>
              <w:jc w:val="left"/>
            </w:pPr>
            <w:r>
              <w:t xml:space="preserve">CLDB</w:t>
            </w:r>
          </w:p>
        </w:tc>
        <w:tc>
          <w:p/>
        </w:tc>
        <w:tc>
          <w:p/>
        </w:tc>
        <w:tc>
          <w:p/>
        </w:tc>
        <w:tc>
          <w:p/>
        </w:tc>
        <w:tc>
          <w:p/>
        </w:tc>
        <w:tc>
          <w:p/>
        </w:tc>
        <w:tc>
          <w:p/>
        </w:tc>
        <w:tc>
          <w:p/>
        </w:tc>
        <w:tc>
          <w:p/>
        </w:tc>
        <w:tc>
          <w:p/>
        </w:tc>
        <w:tc>
          <w:p/>
        </w:tc>
        <w:tc>
          <w:p/>
        </w:tc>
      </w:tr>
      <w:tr>
        <w:tc>
          <w:p>
            <w:pPr>
              <w:pStyle w:val="Compact"/>
              <w:jc w:val="left"/>
            </w:pPr>
            <w:r>
              <w:t xml:space="preserve">IRON</w:t>
            </w:r>
          </w:p>
        </w:tc>
        <w:tc>
          <w:p/>
        </w:tc>
        <w:tc>
          <w:p/>
        </w:tc>
        <w:tc>
          <w:p/>
        </w:tc>
        <w:tc>
          <w:p/>
        </w:tc>
        <w:tc>
          <w:p/>
        </w:tc>
        <w:tc>
          <w:p/>
        </w:tc>
        <w:tc>
          <w:p/>
        </w:tc>
        <w:tc>
          <w:p/>
        </w:tc>
        <w:tc>
          <w:p/>
        </w:tc>
        <w:tc>
          <w:p/>
        </w:tc>
        <w:tc>
          <w:p/>
        </w:tc>
        <w:tc>
          <w:p/>
        </w:tc>
      </w:tr>
      <w:tr>
        <w:tc>
          <w:p>
            <w:pPr>
              <w:pStyle w:val="Compact"/>
              <w:jc w:val="left"/>
            </w:pPr>
            <w:r>
              <w:t xml:space="preserve">SEAL</w:t>
            </w:r>
          </w:p>
        </w:tc>
        <w:tc>
          <w:p/>
        </w:tc>
        <w:tc>
          <w:p/>
        </w:tc>
        <w:tc>
          <w:p/>
        </w:tc>
        <w:tc>
          <w:p/>
        </w:tc>
        <w:tc>
          <w:p/>
        </w:tc>
        <w:tc>
          <w:p/>
        </w:tc>
        <w:tc>
          <w:p/>
        </w:tc>
        <w:tc>
          <w:p/>
        </w:tc>
        <w:tc>
          <w:p/>
        </w:tc>
        <w:tc>
          <w:p/>
        </w:tc>
        <w:tc>
          <w:p/>
        </w:tc>
        <w:tc>
          <w:p/>
        </w:tc>
      </w:tr>
      <w:tr>
        <w:tc>
          <w:p>
            <w:pPr>
              <w:pStyle w:val="Compact"/>
              <w:jc w:val="left"/>
            </w:pPr>
            <w:r>
              <w:t xml:space="preserve">WLLW</w:t>
            </w:r>
          </w:p>
        </w:tc>
        <w:tc>
          <w:p/>
        </w:tc>
        <w:tc>
          <w:p/>
        </w:tc>
        <w:tc>
          <w:p/>
        </w:tc>
        <w:tc>
          <w:p/>
        </w:tc>
        <w:tc>
          <w:p/>
        </w:tc>
        <w:tc>
          <w:p/>
        </w:tc>
        <w:tc>
          <w:p/>
        </w:tc>
        <w:tc>
          <w:p/>
        </w:tc>
        <w:tc>
          <w:p/>
        </w:tc>
        <w:tc>
          <w:p/>
        </w:tc>
        <w:tc>
          <w:p/>
        </w:tc>
        <w:tc>
          <w:p/>
        </w:tc>
      </w:tr>
      <w:tr>
        <w:tc>
          <w:p>
            <w:pPr>
              <w:pStyle w:val="Compact"/>
              <w:jc w:val="left"/>
            </w:pPr>
            <w:r>
              <w:t xml:space="preserve">HNYP</w:t>
            </w:r>
          </w:p>
        </w:tc>
        <w:tc>
          <w:p/>
        </w:tc>
        <w:tc>
          <w:p/>
        </w:tc>
        <w:tc>
          <w:p/>
        </w:tc>
        <w:tc>
          <w:p/>
        </w:tc>
        <w:tc>
          <w:p/>
        </w:tc>
        <w:tc>
          <w:p/>
        </w:tc>
        <w:tc>
          <w:p/>
        </w:tc>
        <w:tc>
          <w:p/>
        </w:tc>
        <w:tc>
          <w:p/>
        </w:tc>
        <w:tc>
          <w:p/>
        </w:tc>
        <w:tc>
          <w:p/>
        </w:tc>
        <w:tc>
          <w:p/>
        </w:tc>
      </w:tr>
      <w:tr>
        <w:tc>
          <w:p>
            <w:pPr>
              <w:pStyle w:val="Compact"/>
              <w:jc w:val="left"/>
            </w:pPr>
            <w:r>
              <w:t xml:space="preserve">MDOW</w:t>
            </w:r>
          </w:p>
        </w:tc>
        <w:tc>
          <w:p/>
        </w:tc>
        <w:tc>
          <w:p/>
        </w:tc>
        <w:tc>
          <w:p/>
        </w:tc>
        <w:tc>
          <w:p/>
        </w:tc>
        <w:tc>
          <w:p/>
        </w:tc>
        <w:tc>
          <w:p/>
        </w:tc>
        <w:tc>
          <w:p/>
        </w:tc>
        <w:tc>
          <w:p/>
        </w:tc>
        <w:tc>
          <w:p/>
        </w:tc>
        <w:tc>
          <w:p/>
        </w:tc>
        <w:tc>
          <w:p/>
        </w:tc>
        <w:tc>
          <w:p/>
        </w:tc>
      </w:tr>
    </w:tbl>
    <w:p>
      <w:pPr>
        <w:pStyle w:val="Heading2"/>
      </w:pPr>
      <w:bookmarkStart w:id="23" w:name="section-c-daily-fortune"/>
      <w:r>
        <w:t xml:space="preserve">Section C: Daily fortune</w:t>
      </w:r>
      <w:bookmarkEnd w:id="23"/>
    </w:p>
    <w:p>
      <w:pPr>
        <w:pStyle w:val="FirstParagraph"/>
      </w:pPr>
      <w:r>
        <w:t xml:space="preserve">Value of a venture = units held times today’s board price. Total fortune = cash + all seven values.</w:t>
      </w:r>
    </w:p>
    <w:tbl>
      <w:tblPr>
        <w:tblStyle w:val="Table"/>
        <w:tblW w:type="pct" w:w="5000.0"/>
        <w:tblLook w:firstRow="1"/>
      </w:tblPr>
      <w:tblGrid>
        <w:gridCol w:w="719"/>
        <w:gridCol w:w="719"/>
        <w:gridCol w:w="719"/>
        <w:gridCol w:w="719"/>
        <w:gridCol w:w="719"/>
        <w:gridCol w:w="719"/>
        <w:gridCol w:w="719"/>
        <w:gridCol w:w="719"/>
        <w:gridCol w:w="719"/>
        <w:gridCol w:w="719"/>
        <w:gridCol w:w="719"/>
      </w:tblGrid>
      <w:tr>
        <w:trPr>
          <w:cnfStyle w:firstRow="1"/>
        </w:trPr>
        <w:tc>
          <w:tcPr>
            <w:tcBorders>
              <w:bottom w:val="single"/>
            </w:tcBorders>
            <w:vAlign w:val="bottom"/>
          </w:tcPr>
          <w:p>
            <w:pPr>
              <w:pStyle w:val="Compact"/>
              <w:jc w:val="left"/>
            </w:pPr>
            <w:r>
              <w:t xml:space="preserve">Day</w:t>
            </w:r>
          </w:p>
        </w:tc>
        <w:tc>
          <w:tcPr>
            <w:tcBorders>
              <w:bottom w:val="single"/>
            </w:tcBorders>
            <w:vAlign w:val="bottom"/>
          </w:tcPr>
          <w:p>
            <w:pPr>
              <w:pStyle w:val="Compact"/>
              <w:jc w:val="left"/>
            </w:pPr>
            <w:r>
              <w:t xml:space="preserve">Cash</w:t>
            </w:r>
          </w:p>
        </w:tc>
        <w:tc>
          <w:tcPr>
            <w:tcBorders>
              <w:bottom w:val="single"/>
            </w:tcBorders>
            <w:vAlign w:val="bottom"/>
          </w:tcPr>
          <w:p>
            <w:pPr>
              <w:pStyle w:val="Compact"/>
              <w:jc w:val="left"/>
            </w:pPr>
            <w:r>
              <w:t xml:space="preserve">SPRK value</w:t>
            </w:r>
          </w:p>
        </w:tc>
        <w:tc>
          <w:tcPr>
            <w:tcBorders>
              <w:bottom w:val="single"/>
            </w:tcBorders>
            <w:vAlign w:val="bottom"/>
          </w:tcPr>
          <w:p>
            <w:pPr>
              <w:pStyle w:val="Compact"/>
              <w:jc w:val="left"/>
            </w:pPr>
            <w:r>
              <w:t xml:space="preserve">CLDB value</w:t>
            </w:r>
          </w:p>
        </w:tc>
        <w:tc>
          <w:tcPr>
            <w:tcBorders>
              <w:bottom w:val="single"/>
            </w:tcBorders>
            <w:vAlign w:val="bottom"/>
          </w:tcPr>
          <w:p>
            <w:pPr>
              <w:pStyle w:val="Compact"/>
              <w:jc w:val="left"/>
            </w:pPr>
            <w:r>
              <w:t xml:space="preserve">IRON value</w:t>
            </w:r>
          </w:p>
        </w:tc>
        <w:tc>
          <w:tcPr>
            <w:tcBorders>
              <w:bottom w:val="single"/>
            </w:tcBorders>
            <w:vAlign w:val="bottom"/>
          </w:tcPr>
          <w:p>
            <w:pPr>
              <w:pStyle w:val="Compact"/>
              <w:jc w:val="left"/>
            </w:pPr>
            <w:r>
              <w:t xml:space="preserve">SEAL value</w:t>
            </w:r>
          </w:p>
        </w:tc>
        <w:tc>
          <w:tcPr>
            <w:tcBorders>
              <w:bottom w:val="single"/>
            </w:tcBorders>
            <w:vAlign w:val="bottom"/>
          </w:tcPr>
          <w:p>
            <w:pPr>
              <w:pStyle w:val="Compact"/>
              <w:jc w:val="left"/>
            </w:pPr>
            <w:r>
              <w:t xml:space="preserve">WLLW value</w:t>
            </w:r>
          </w:p>
        </w:tc>
        <w:tc>
          <w:tcPr>
            <w:tcBorders>
              <w:bottom w:val="single"/>
            </w:tcBorders>
            <w:vAlign w:val="bottom"/>
          </w:tcPr>
          <w:p>
            <w:pPr>
              <w:pStyle w:val="Compact"/>
              <w:jc w:val="left"/>
            </w:pPr>
            <w:r>
              <w:t xml:space="preserve">HNYP value</w:t>
            </w:r>
          </w:p>
        </w:tc>
        <w:tc>
          <w:tcPr>
            <w:tcBorders>
              <w:bottom w:val="single"/>
            </w:tcBorders>
            <w:vAlign w:val="bottom"/>
          </w:tcPr>
          <w:p>
            <w:pPr>
              <w:pStyle w:val="Compact"/>
              <w:jc w:val="left"/>
            </w:pPr>
            <w:r>
              <w:t xml:space="preserve">MDOW value</w:t>
            </w:r>
          </w:p>
        </w:tc>
        <w:tc>
          <w:tcPr>
            <w:tcBorders>
              <w:bottom w:val="single"/>
            </w:tcBorders>
            <w:vAlign w:val="bottom"/>
          </w:tcPr>
          <w:p>
            <w:pPr>
              <w:pStyle w:val="Compact"/>
              <w:jc w:val="left"/>
            </w:pPr>
            <w:r>
              <w:t xml:space="preserve">Total fortune</w:t>
            </w:r>
          </w:p>
        </w:tc>
        <w:tc>
          <w:tcPr>
            <w:tcBorders>
              <w:bottom w:val="single"/>
            </w:tcBorders>
            <w:vAlign w:val="bottom"/>
          </w:tcPr>
          <w:p>
            <w:pPr>
              <w:pStyle w:val="Compact"/>
              <w:jc w:val="left"/>
            </w:pPr>
            <w:r>
              <w:t xml:space="preserve">Teacher initials</w:t>
            </w:r>
          </w:p>
        </w:tc>
      </w:tr>
      <w:tr>
        <w:tc>
          <w:p>
            <w:pPr>
              <w:pStyle w:val="Compact"/>
              <w:jc w:val="left"/>
            </w:pPr>
            <w:r>
              <w:t xml:space="preserve">1</w:t>
            </w:r>
          </w:p>
        </w:tc>
        <w:tc>
          <w:p/>
        </w:tc>
        <w:tc>
          <w:p/>
        </w:tc>
        <w:tc>
          <w:p/>
        </w:tc>
        <w:tc>
          <w:p/>
        </w:tc>
        <w:tc>
          <w:p/>
        </w:tc>
        <w:tc>
          <w:p/>
        </w:tc>
        <w:tc>
          <w:p/>
        </w:tc>
        <w:tc>
          <w:p/>
        </w:tc>
        <w:tc>
          <w:p/>
        </w:tc>
        <w:tc>
          <w:p/>
        </w:tc>
      </w:tr>
      <w:tr>
        <w:tc>
          <w:p>
            <w:pPr>
              <w:pStyle w:val="Compact"/>
              <w:jc w:val="left"/>
            </w:pPr>
            <w:r>
              <w:t xml:space="preserve">2</w:t>
            </w:r>
          </w:p>
        </w:tc>
        <w:tc>
          <w:p/>
        </w:tc>
        <w:tc>
          <w:p/>
        </w:tc>
        <w:tc>
          <w:p/>
        </w:tc>
        <w:tc>
          <w:p/>
        </w:tc>
        <w:tc>
          <w:p/>
        </w:tc>
        <w:tc>
          <w:p/>
        </w:tc>
        <w:tc>
          <w:p/>
        </w:tc>
        <w:tc>
          <w:p/>
        </w:tc>
        <w:tc>
          <w:p/>
        </w:tc>
        <w:tc>
          <w:p/>
        </w:tc>
      </w:tr>
      <w:tr>
        <w:tc>
          <w:p>
            <w:pPr>
              <w:pStyle w:val="Compact"/>
              <w:jc w:val="left"/>
            </w:pPr>
            <w:r>
              <w:t xml:space="preserve">3</w:t>
            </w:r>
          </w:p>
        </w:tc>
        <w:tc>
          <w:p/>
        </w:tc>
        <w:tc>
          <w:p/>
        </w:tc>
        <w:tc>
          <w:p/>
        </w:tc>
        <w:tc>
          <w:p/>
        </w:tc>
        <w:tc>
          <w:p/>
        </w:tc>
        <w:tc>
          <w:p/>
        </w:tc>
        <w:tc>
          <w:p/>
        </w:tc>
        <w:tc>
          <w:p/>
        </w:tc>
        <w:tc>
          <w:p/>
        </w:tc>
        <w:tc>
          <w:p/>
        </w:tc>
      </w:tr>
      <w:tr>
        <w:tc>
          <w:p>
            <w:pPr>
              <w:pStyle w:val="Compact"/>
              <w:jc w:val="left"/>
            </w:pPr>
            <w:r>
              <w:t xml:space="preserve">4</w:t>
            </w:r>
          </w:p>
        </w:tc>
        <w:tc>
          <w:p/>
        </w:tc>
        <w:tc>
          <w:p/>
        </w:tc>
        <w:tc>
          <w:p/>
        </w:tc>
        <w:tc>
          <w:p/>
        </w:tc>
        <w:tc>
          <w:p/>
        </w:tc>
        <w:tc>
          <w:p/>
        </w:tc>
        <w:tc>
          <w:p/>
        </w:tc>
        <w:tc>
          <w:p/>
        </w:tc>
        <w:tc>
          <w:p/>
        </w:tc>
        <w:tc>
          <w:p/>
        </w:tc>
      </w:tr>
      <w:tr>
        <w:tc>
          <w:p>
            <w:pPr>
              <w:pStyle w:val="Compact"/>
              <w:jc w:val="left"/>
            </w:pPr>
            <w:r>
              <w:t xml:space="preserve">5</w:t>
            </w:r>
          </w:p>
        </w:tc>
        <w:tc>
          <w:p/>
        </w:tc>
        <w:tc>
          <w:p/>
        </w:tc>
        <w:tc>
          <w:p/>
        </w:tc>
        <w:tc>
          <w:p/>
        </w:tc>
        <w:tc>
          <w:p/>
        </w:tc>
        <w:tc>
          <w:p/>
        </w:tc>
        <w:tc>
          <w:p/>
        </w:tc>
        <w:tc>
          <w:p/>
        </w:tc>
        <w:tc>
          <w:p/>
        </w:tc>
        <w:tc>
          <w:p/>
        </w:tc>
      </w:tr>
      <w:tr>
        <w:tc>
          <w:p>
            <w:pPr>
              <w:pStyle w:val="Compact"/>
              <w:jc w:val="left"/>
            </w:pPr>
            <w:r>
              <w:t xml:space="preserve">6 (crisis)</w:t>
            </w:r>
          </w:p>
        </w:tc>
        <w:tc>
          <w:p/>
        </w:tc>
        <w:tc>
          <w:p/>
        </w:tc>
        <w:tc>
          <w:p/>
        </w:tc>
        <w:tc>
          <w:p/>
        </w:tc>
        <w:tc>
          <w:p/>
        </w:tc>
        <w:tc>
          <w:p/>
        </w:tc>
        <w:tc>
          <w:p/>
        </w:tc>
        <w:tc>
          <w:p/>
        </w:tc>
        <w:tc>
          <w:p/>
        </w:tc>
        <w:tc>
          <w:p/>
        </w:tc>
      </w:tr>
      <w:tr>
        <w:tc>
          <w:p>
            <w:pPr>
              <w:pStyle w:val="Compact"/>
              <w:jc w:val="left"/>
            </w:pPr>
            <w:r>
              <w:t xml:space="preserve">7 (crisis)</w:t>
            </w:r>
          </w:p>
        </w:tc>
        <w:tc>
          <w:p/>
        </w:tc>
        <w:tc>
          <w:p/>
        </w:tc>
        <w:tc>
          <w:p/>
        </w:tc>
        <w:tc>
          <w:p/>
        </w:tc>
        <w:tc>
          <w:p/>
        </w:tc>
        <w:tc>
          <w:p/>
        </w:tc>
        <w:tc>
          <w:p/>
        </w:tc>
        <w:tc>
          <w:p/>
        </w:tc>
        <w:tc>
          <w:p/>
        </w:tc>
        <w:tc>
          <w:p/>
        </w:tc>
      </w:tr>
      <w:tr>
        <w:tc>
          <w:p>
            <w:pPr>
              <w:pStyle w:val="Compact"/>
              <w:jc w:val="left"/>
            </w:pPr>
            <w:r>
              <w:t xml:space="preserve">8 (recovery)</w:t>
            </w:r>
          </w:p>
        </w:tc>
        <w:tc>
          <w:p/>
        </w:tc>
        <w:tc>
          <w:p/>
        </w:tc>
        <w:tc>
          <w:p/>
        </w:tc>
        <w:tc>
          <w:p/>
        </w:tc>
        <w:tc>
          <w:p/>
        </w:tc>
        <w:tc>
          <w:p/>
        </w:tc>
        <w:tc>
          <w:p/>
        </w:tc>
        <w:tc>
          <w:p/>
        </w:tc>
        <w:tc>
          <w:p/>
        </w:tc>
        <w:tc>
          <w:p/>
        </w:tc>
      </w:tr>
      <w:tr>
        <w:tc>
          <w:p>
            <w:pPr>
              <w:pStyle w:val="Compact"/>
              <w:jc w:val="left"/>
            </w:pPr>
            <w:r>
              <w:t xml:space="preserve">9 (close)</w:t>
            </w:r>
          </w:p>
        </w:tc>
        <w:tc>
          <w:p/>
        </w:tc>
        <w:tc>
          <w:p/>
        </w:tc>
        <w:tc>
          <w:p/>
        </w:tc>
        <w:tc>
          <w:p/>
        </w:tc>
        <w:tc>
          <w:p/>
        </w:tc>
        <w:tc>
          <w:p/>
        </w:tc>
        <w:tc>
          <w:p/>
        </w:tc>
        <w:tc>
          <w:p/>
        </w:tc>
        <w:tc>
          <w:p/>
        </w:tc>
        <w:tc>
          <w:p/>
        </w:tc>
      </w:tr>
      <w:tr>
        <w:tc>
          <w:p>
            <w:pPr>
              <w:pStyle w:val="Compact"/>
              <w:jc w:val="left"/>
            </w:pPr>
            <w:r>
              <w:t xml:space="preserve">R2 Day 1</w:t>
            </w:r>
          </w:p>
        </w:tc>
        <w:tc>
          <w:p/>
        </w:tc>
        <w:tc>
          <w:p/>
        </w:tc>
        <w:tc>
          <w:p/>
        </w:tc>
        <w:tc>
          <w:p/>
        </w:tc>
        <w:tc>
          <w:p/>
        </w:tc>
        <w:tc>
          <w:p/>
        </w:tc>
        <w:tc>
          <w:p/>
        </w:tc>
        <w:tc>
          <w:p/>
        </w:tc>
        <w:tc>
          <w:p/>
        </w:tc>
        <w:tc>
          <w:p/>
        </w:tc>
      </w:tr>
      <w:tr>
        <w:tc>
          <w:p>
            <w:pPr>
              <w:pStyle w:val="Compact"/>
              <w:jc w:val="left"/>
            </w:pPr>
            <w:r>
              <w:t xml:space="preserve">R2 Day 2</w:t>
            </w:r>
          </w:p>
        </w:tc>
        <w:tc>
          <w:p/>
        </w:tc>
        <w:tc>
          <w:p/>
        </w:tc>
        <w:tc>
          <w:p/>
        </w:tc>
        <w:tc>
          <w:p/>
        </w:tc>
        <w:tc>
          <w:p/>
        </w:tc>
        <w:tc>
          <w:p/>
        </w:tc>
        <w:tc>
          <w:p/>
        </w:tc>
        <w:tc>
          <w:p/>
        </w:tc>
        <w:tc>
          <w:p/>
        </w:tc>
        <w:tc>
          <w:p/>
        </w:tc>
      </w:tr>
      <w:tr>
        <w:tc>
          <w:p>
            <w:pPr>
              <w:pStyle w:val="Compact"/>
              <w:jc w:val="left"/>
            </w:pPr>
            <w:r>
              <w:t xml:space="preserve">R2 Day 3</w:t>
            </w:r>
          </w:p>
        </w:tc>
        <w:tc>
          <w:p/>
        </w:tc>
        <w:tc>
          <w:p/>
        </w:tc>
        <w:tc>
          <w:p/>
        </w:tc>
        <w:tc>
          <w:p/>
        </w:tc>
        <w:tc>
          <w:p/>
        </w:tc>
        <w:tc>
          <w:p/>
        </w:tc>
        <w:tc>
          <w:p/>
        </w:tc>
        <w:tc>
          <w:p/>
        </w:tc>
        <w:tc>
          <w:p/>
        </w:tc>
        <w:tc>
          <w:p/>
        </w:tc>
      </w:tr>
    </w:tbl>
    <w:p>
      <w:pPr>
        <w:pStyle w:val="BodyText"/>
      </w:pPr>
      <w:r>
        <w:t xml:space="preserve">My closing total fortune (Day 9): AQ __________ My percent return: (__________ minus 25,000) divided by 25,000, times 100 = ______ percent</w:t>
      </w:r>
    </w:p>
    <w:p>
      <w:pPr>
        <w:pStyle w:val="BodyText"/>
      </w:pPr>
      <w:r>
        <w:t xml:space="preserve">My Round 2 closing fortune: AQ __________</w:t>
      </w:r>
    </w:p>
    <w:p>
      <w:r>
        <w:br w:type="page"/>
      </w:r>
    </w:p>
    <w:p>
      <w:pPr>
        <w:pStyle w:val="Heading2"/>
      </w:pPr>
      <w:bookmarkStart w:id="24" w:name="X18b2b5877d582681df57bae2268a1d0784c9786"/>
      <w:r>
        <w:t xml:space="preserve">Teacher key: the price table and the dispatch script</w:t>
      </w:r>
      <w:bookmarkEnd w:id="24"/>
    </w:p>
    <w:p>
      <w:pPr>
        <w:pStyle w:val="FirstParagraph"/>
      </w:pPr>
      <w:r>
        <w:t xml:space="preserve">Do not hand this page to students. Post the day’s prices on the board at the start of the trading window and read the dispatch aloud twice, once fast and once slow. The prices below are an example path built from the Fortune Street starting prices in Sal’s README; they match the example numbers in</w:t>
      </w:r>
      <w:r>
        <w:t xml:space="preserve"> </w:t>
      </w:r>
      <w:r>
        <w:rPr>
          <w:rStyle w:val="VerbatimChar"/>
        </w:rPr>
        <w:t xml:space="preserve">Handout 02.18 - Return Math.md</w:t>
      </w:r>
      <w:r>
        <w:t xml:space="preserve">, so the safe, risky, and mixed portfolios there can be checked against this table.</w:t>
      </w:r>
      <w:r>
        <w:t xml:space="preserve"> </w:t>
      </w:r>
      <w:r>
        <w:rPr>
          <w:rStyle w:val="TeacherNote"/>
        </w:rPr>
        <w:t xml:space="preserve">[Sal: if you want the paper path to match the live site’s, copy the live closing prices for each class day into this table instead.]</w:t>
      </w:r>
    </w:p>
    <w:p>
      <w:pPr>
        <w:pStyle w:val="Heading3"/>
      </w:pPr>
      <w:bookmarkStart w:id="25" w:name="the-price-table-aq-per-unit"/>
      <w:r>
        <w:t xml:space="preserve">The price table (AQ per unit)</w:t>
      </w:r>
      <w:bookmarkEnd w:id="25"/>
    </w:p>
    <w:tbl>
      <w:tblPr>
        <w:tblStyle w:val="Table"/>
        <w:tblW w:type="pct" w:w="5000"/>
        <w:tblLook w:firstRow="1"/>
      </w:tblPr>
      <w:tblGrid>
        <w:gridCol w:w="1040"/>
        <w:gridCol w:w="1040"/>
        <w:gridCol w:w="1040"/>
        <w:gridCol w:w="1040"/>
        <w:gridCol w:w="1040"/>
        <w:gridCol w:w="1040"/>
        <w:gridCol w:w="1040"/>
        <w:gridCol w:w="1040"/>
        <w:gridCol w:w="1040"/>
      </w:tblGrid>
      <w:tr>
        <w:trPr>
          <w:cnfStyle w:firstRow="1"/>
        </w:trPr>
        <w:tc>
          <w:tcPr>
            <w:tcW w:type="dxa" w:w="1040"/>
            <w:tcBorders>
              <w:bottom w:val="single"/>
            </w:tcBorders>
            <w:vAlign w:val="bottom"/>
          </w:tcPr>
          <w:p>
            <w:pPr>
              <w:pStyle w:val="Compact"/>
              <w:jc w:val="left"/>
            </w:pPr>
            <w:r>
              <w:t xml:space="preserve">Day</w:t>
            </w:r>
          </w:p>
        </w:tc>
        <w:tc>
          <w:tcPr>
            <w:tcW w:type="dxa" w:w="1040"/>
            <w:tcBorders>
              <w:bottom w:val="single"/>
            </w:tcBorders>
            <w:vAlign w:val="bottom"/>
          </w:tcPr>
          <w:p>
            <w:pPr>
              <w:pStyle w:val="Compact"/>
              <w:jc w:val="left"/>
            </w:pPr>
            <w:r>
              <w:t xml:space="preserve">Lesson</w:t>
            </w:r>
          </w:p>
        </w:tc>
        <w:tc>
          <w:tcPr>
            <w:tcW w:type="dxa" w:w="1040"/>
            <w:tcBorders>
              <w:bottom w:val="single"/>
            </w:tcBorders>
            <w:vAlign w:val="bottom"/>
          </w:tcPr>
          <w:p>
            <w:pPr>
              <w:pStyle w:val="Compact"/>
              <w:jc w:val="left"/>
            </w:pPr>
            <w:r>
              <w:t xml:space="preserve">SPRK</w:t>
            </w:r>
          </w:p>
        </w:tc>
        <w:tc>
          <w:tcPr>
            <w:tcW w:type="dxa" w:w="1040"/>
            <w:tcBorders>
              <w:bottom w:val="single"/>
            </w:tcBorders>
            <w:vAlign w:val="bottom"/>
          </w:tcPr>
          <w:p>
            <w:pPr>
              <w:pStyle w:val="Compact"/>
              <w:jc w:val="left"/>
            </w:pPr>
            <w:r>
              <w:t xml:space="preserve">CLDB</w:t>
            </w:r>
          </w:p>
        </w:tc>
        <w:tc>
          <w:tcPr>
            <w:tcW w:type="dxa" w:w="1040"/>
            <w:tcBorders>
              <w:bottom w:val="single"/>
            </w:tcBorders>
            <w:vAlign w:val="bottom"/>
          </w:tcPr>
          <w:p>
            <w:pPr>
              <w:pStyle w:val="Compact"/>
              <w:jc w:val="left"/>
            </w:pPr>
            <w:r>
              <w:t xml:space="preserve">IRON</w:t>
            </w:r>
          </w:p>
        </w:tc>
        <w:tc>
          <w:tcPr>
            <w:tcW w:type="dxa" w:w="1040"/>
            <w:tcBorders>
              <w:bottom w:val="single"/>
            </w:tcBorders>
            <w:vAlign w:val="bottom"/>
          </w:tcPr>
          <w:p>
            <w:pPr>
              <w:pStyle w:val="Compact"/>
              <w:jc w:val="left"/>
            </w:pPr>
            <w:r>
              <w:t xml:space="preserve">SEAL</w:t>
            </w:r>
          </w:p>
        </w:tc>
        <w:tc>
          <w:tcPr>
            <w:tcW w:type="dxa" w:w="1040"/>
            <w:tcBorders>
              <w:bottom w:val="single"/>
            </w:tcBorders>
            <w:vAlign w:val="bottom"/>
          </w:tcPr>
          <w:p>
            <w:pPr>
              <w:pStyle w:val="Compact"/>
              <w:jc w:val="left"/>
            </w:pPr>
            <w:r>
              <w:t xml:space="preserve">WLLW</w:t>
            </w:r>
          </w:p>
        </w:tc>
        <w:tc>
          <w:tcPr>
            <w:tcW w:type="dxa" w:w="1040"/>
            <w:tcBorders>
              <w:bottom w:val="single"/>
            </w:tcBorders>
            <w:vAlign w:val="bottom"/>
          </w:tcPr>
          <w:p>
            <w:pPr>
              <w:pStyle w:val="Compact"/>
              <w:jc w:val="left"/>
            </w:pPr>
            <w:r>
              <w:t xml:space="preserve">HNYP</w:t>
            </w:r>
          </w:p>
        </w:tc>
        <w:tc>
          <w:tcPr>
            <w:tcW w:type="dxa" w:w="1040"/>
            <w:tcBorders>
              <w:bottom w:val="single"/>
            </w:tcBorders>
            <w:vAlign w:val="bottom"/>
          </w:tcPr>
          <w:p>
            <w:pPr>
              <w:pStyle w:val="Compact"/>
              <w:jc w:val="left"/>
            </w:pPr>
            <w:r>
              <w:t xml:space="preserve">MDOW</w:t>
            </w:r>
          </w:p>
        </w:tc>
      </w:tr>
      <w:tr>
        <w:tc>
          <w:tcPr>
            <w:tcW w:type="dxa" w:w="1040"/>
          </w:tcPr>
          <w:p>
            <w:pPr>
              <w:pStyle w:val="Compact"/>
              <w:jc w:val="left"/>
            </w:pPr>
            <w:r>
              <w:t xml:space="preserve">1</w:t>
            </w:r>
          </w:p>
        </w:tc>
        <w:tc>
          <w:tcPr>
            <w:tcW w:type="dxa" w:w="1040"/>
          </w:tcPr>
          <w:p>
            <w:pPr>
              <w:pStyle w:val="Compact"/>
              <w:jc w:val="left"/>
            </w:pPr>
            <w:r>
              <w:t xml:space="preserve">2.14 D1</w:t>
            </w:r>
          </w:p>
        </w:tc>
        <w:tc>
          <w:tcPr>
            <w:tcW w:type="dxa" w:w="1040"/>
          </w:tcPr>
          <w:p>
            <w:pPr>
              <w:pStyle w:val="Compact"/>
              <w:jc w:val="left"/>
            </w:pPr>
            <w:r>
              <w:t xml:space="preserve">48.50</w:t>
            </w:r>
          </w:p>
        </w:tc>
        <w:tc>
          <w:tcPr>
            <w:tcW w:type="dxa" w:w="1040"/>
          </w:tcPr>
          <w:p>
            <w:pPr>
              <w:pStyle w:val="Compact"/>
              <w:jc w:val="left"/>
            </w:pPr>
            <w:r>
              <w:t xml:space="preserve">32.75</w:t>
            </w:r>
          </w:p>
        </w:tc>
        <w:tc>
          <w:tcPr>
            <w:tcW w:type="dxa" w:w="1040"/>
          </w:tcPr>
          <w:p>
            <w:pPr>
              <w:pStyle w:val="Compact"/>
              <w:jc w:val="left"/>
            </w:pPr>
            <w:r>
              <w:t xml:space="preserve">100.00</w:t>
            </w:r>
          </w:p>
        </w:tc>
        <w:tc>
          <w:tcPr>
            <w:tcW w:type="dxa" w:w="1040"/>
          </w:tcPr>
          <w:p>
            <w:pPr>
              <w:pStyle w:val="Compact"/>
              <w:jc w:val="left"/>
            </w:pPr>
            <w:r>
              <w:t xml:space="preserve">98.50</w:t>
            </w:r>
          </w:p>
        </w:tc>
        <w:tc>
          <w:tcPr>
            <w:tcW w:type="dxa" w:w="1040"/>
          </w:tcPr>
          <w:p>
            <w:pPr>
              <w:pStyle w:val="Compact"/>
              <w:jc w:val="left"/>
            </w:pPr>
            <w:r>
              <w:t xml:space="preserve">55.00</w:t>
            </w:r>
          </w:p>
        </w:tc>
        <w:tc>
          <w:tcPr>
            <w:tcW w:type="dxa" w:w="1040"/>
          </w:tcPr>
          <w:p>
            <w:pPr>
              <w:pStyle w:val="Compact"/>
              <w:jc w:val="left"/>
            </w:pPr>
            <w:r>
              <w:t xml:space="preserve">100.00</w:t>
            </w:r>
          </w:p>
        </w:tc>
        <w:tc>
          <w:tcPr>
            <w:tcW w:type="dxa" w:w="1040"/>
          </w:tcPr>
          <w:p>
            <w:pPr>
              <w:pStyle w:val="Compact"/>
              <w:jc w:val="left"/>
            </w:pPr>
            <w:r>
              <w:t xml:space="preserve">72.00</w:t>
            </w:r>
          </w:p>
        </w:tc>
      </w:tr>
      <w:tr>
        <w:tc>
          <w:tcPr>
            <w:tcW w:type="dxa" w:w="1040"/>
          </w:tcPr>
          <w:p>
            <w:pPr>
              <w:pStyle w:val="Compact"/>
              <w:jc w:val="left"/>
            </w:pPr>
            <w:r>
              <w:t xml:space="preserve">2</w:t>
            </w:r>
          </w:p>
        </w:tc>
        <w:tc>
          <w:tcPr>
            <w:tcW w:type="dxa" w:w="1040"/>
          </w:tcPr>
          <w:p>
            <w:pPr>
              <w:pStyle w:val="Compact"/>
              <w:jc w:val="left"/>
            </w:pPr>
            <w:r>
              <w:t xml:space="preserve">2.14 D2</w:t>
            </w:r>
          </w:p>
        </w:tc>
        <w:tc>
          <w:tcPr>
            <w:tcW w:type="dxa" w:w="1040"/>
          </w:tcPr>
          <w:p>
            <w:pPr>
              <w:pStyle w:val="Compact"/>
              <w:jc w:val="left"/>
            </w:pPr>
            <w:r>
              <w:t xml:space="preserve">51.00</w:t>
            </w:r>
          </w:p>
        </w:tc>
        <w:tc>
          <w:tcPr>
            <w:tcW w:type="dxa" w:w="1040"/>
          </w:tcPr>
          <w:p>
            <w:pPr>
              <w:pStyle w:val="Compact"/>
              <w:jc w:val="left"/>
            </w:pPr>
            <w:r>
              <w:t xml:space="preserve">35.20</w:t>
            </w:r>
          </w:p>
        </w:tc>
        <w:tc>
          <w:tcPr>
            <w:tcW w:type="dxa" w:w="1040"/>
          </w:tcPr>
          <w:p>
            <w:pPr>
              <w:pStyle w:val="Compact"/>
              <w:jc w:val="left"/>
            </w:pPr>
            <w:r>
              <w:t xml:space="preserve">100.10</w:t>
            </w:r>
          </w:p>
        </w:tc>
        <w:tc>
          <w:tcPr>
            <w:tcW w:type="dxa" w:w="1040"/>
          </w:tcPr>
          <w:p>
            <w:pPr>
              <w:pStyle w:val="Compact"/>
              <w:jc w:val="left"/>
            </w:pPr>
            <w:r>
              <w:t xml:space="preserve">98.60</w:t>
            </w:r>
          </w:p>
        </w:tc>
        <w:tc>
          <w:tcPr>
            <w:tcW w:type="dxa" w:w="1040"/>
          </w:tcPr>
          <w:p>
            <w:pPr>
              <w:pStyle w:val="Compact"/>
              <w:jc w:val="left"/>
            </w:pPr>
            <w:r>
              <w:t xml:space="preserve">55.30</w:t>
            </w:r>
          </w:p>
        </w:tc>
        <w:tc>
          <w:tcPr>
            <w:tcW w:type="dxa" w:w="1040"/>
          </w:tcPr>
          <w:p>
            <w:pPr>
              <w:pStyle w:val="Compact"/>
              <w:jc w:val="left"/>
            </w:pPr>
            <w:r>
              <w:t xml:space="preserve">100.05</w:t>
            </w:r>
          </w:p>
        </w:tc>
        <w:tc>
          <w:tcPr>
            <w:tcW w:type="dxa" w:w="1040"/>
          </w:tcPr>
          <w:p>
            <w:pPr>
              <w:pStyle w:val="Compact"/>
              <w:jc w:val="left"/>
            </w:pPr>
            <w:r>
              <w:t xml:space="preserve">72.80</w:t>
            </w:r>
          </w:p>
        </w:tc>
      </w:tr>
      <w:tr>
        <w:tc>
          <w:tcPr>
            <w:tcW w:type="dxa" w:w="1040"/>
          </w:tcPr>
          <w:p>
            <w:pPr>
              <w:pStyle w:val="Compact"/>
              <w:jc w:val="left"/>
            </w:pPr>
            <w:r>
              <w:t xml:space="preserve">3</w:t>
            </w:r>
          </w:p>
        </w:tc>
        <w:tc>
          <w:tcPr>
            <w:tcW w:type="dxa" w:w="1040"/>
          </w:tcPr>
          <w:p>
            <w:pPr>
              <w:pStyle w:val="Compact"/>
              <w:jc w:val="left"/>
            </w:pPr>
            <w:r>
              <w:t xml:space="preserve">2.15 D1</w:t>
            </w:r>
          </w:p>
        </w:tc>
        <w:tc>
          <w:tcPr>
            <w:tcW w:type="dxa" w:w="1040"/>
          </w:tcPr>
          <w:p>
            <w:pPr>
              <w:pStyle w:val="Compact"/>
              <w:jc w:val="left"/>
            </w:pPr>
            <w:r>
              <w:t xml:space="preserve">47.30</w:t>
            </w:r>
          </w:p>
        </w:tc>
        <w:tc>
          <w:tcPr>
            <w:tcW w:type="dxa" w:w="1040"/>
          </w:tcPr>
          <w:p>
            <w:pPr>
              <w:pStyle w:val="Compact"/>
              <w:jc w:val="left"/>
            </w:pPr>
            <w:r>
              <w:t xml:space="preserve">38.90</w:t>
            </w:r>
          </w:p>
        </w:tc>
        <w:tc>
          <w:tcPr>
            <w:tcW w:type="dxa" w:w="1040"/>
          </w:tcPr>
          <w:p>
            <w:pPr>
              <w:pStyle w:val="Compact"/>
              <w:jc w:val="left"/>
            </w:pPr>
            <w:r>
              <w:t xml:space="preserve">100.20</w:t>
            </w:r>
          </w:p>
        </w:tc>
        <w:tc>
          <w:tcPr>
            <w:tcW w:type="dxa" w:w="1040"/>
          </w:tcPr>
          <w:p>
            <w:pPr>
              <w:pStyle w:val="Compact"/>
              <w:jc w:val="left"/>
            </w:pPr>
            <w:r>
              <w:t xml:space="preserve">98.70</w:t>
            </w:r>
          </w:p>
        </w:tc>
        <w:tc>
          <w:tcPr>
            <w:tcW w:type="dxa" w:w="1040"/>
          </w:tcPr>
          <w:p>
            <w:pPr>
              <w:pStyle w:val="Compact"/>
              <w:jc w:val="left"/>
            </w:pPr>
            <w:r>
              <w:t xml:space="preserve">55.60</w:t>
            </w:r>
          </w:p>
        </w:tc>
        <w:tc>
          <w:tcPr>
            <w:tcW w:type="dxa" w:w="1040"/>
          </w:tcPr>
          <w:p>
            <w:pPr>
              <w:pStyle w:val="Compact"/>
              <w:jc w:val="left"/>
            </w:pPr>
            <w:r>
              <w:t xml:space="preserve">100.10</w:t>
            </w:r>
          </w:p>
        </w:tc>
        <w:tc>
          <w:tcPr>
            <w:tcW w:type="dxa" w:w="1040"/>
          </w:tcPr>
          <w:p>
            <w:pPr>
              <w:pStyle w:val="Compact"/>
              <w:jc w:val="left"/>
            </w:pPr>
            <w:r>
              <w:t xml:space="preserve">71.50</w:t>
            </w:r>
          </w:p>
        </w:tc>
      </w:tr>
      <w:tr>
        <w:tc>
          <w:tcPr>
            <w:tcW w:type="dxa" w:w="1040"/>
          </w:tcPr>
          <w:p>
            <w:pPr>
              <w:pStyle w:val="Compact"/>
              <w:jc w:val="left"/>
            </w:pPr>
            <w:r>
              <w:t xml:space="preserve">4</w:t>
            </w:r>
          </w:p>
        </w:tc>
        <w:tc>
          <w:tcPr>
            <w:tcW w:type="dxa" w:w="1040"/>
          </w:tcPr>
          <w:p>
            <w:pPr>
              <w:pStyle w:val="Compact"/>
              <w:jc w:val="left"/>
            </w:pPr>
            <w:r>
              <w:t xml:space="preserve">2.15 D2</w:t>
            </w:r>
          </w:p>
        </w:tc>
        <w:tc>
          <w:tcPr>
            <w:tcW w:type="dxa" w:w="1040"/>
          </w:tcPr>
          <w:p>
            <w:pPr>
              <w:pStyle w:val="Compact"/>
              <w:jc w:val="left"/>
            </w:pPr>
            <w:r>
              <w:t xml:space="preserve">54.10</w:t>
            </w:r>
          </w:p>
        </w:tc>
        <w:tc>
          <w:tcPr>
            <w:tcW w:type="dxa" w:w="1040"/>
          </w:tcPr>
          <w:p>
            <w:pPr>
              <w:pStyle w:val="Compact"/>
              <w:jc w:val="left"/>
            </w:pPr>
            <w:r>
              <w:t xml:space="preserve">36.40</w:t>
            </w:r>
          </w:p>
        </w:tc>
        <w:tc>
          <w:tcPr>
            <w:tcW w:type="dxa" w:w="1040"/>
          </w:tcPr>
          <w:p>
            <w:pPr>
              <w:pStyle w:val="Compact"/>
              <w:jc w:val="left"/>
            </w:pPr>
            <w:r>
              <w:t xml:space="preserve">100.30</w:t>
            </w:r>
          </w:p>
        </w:tc>
        <w:tc>
          <w:tcPr>
            <w:tcW w:type="dxa" w:w="1040"/>
          </w:tcPr>
          <w:p>
            <w:pPr>
              <w:pStyle w:val="Compact"/>
              <w:jc w:val="left"/>
            </w:pPr>
            <w:r>
              <w:t xml:space="preserve">98.80</w:t>
            </w:r>
          </w:p>
        </w:tc>
        <w:tc>
          <w:tcPr>
            <w:tcW w:type="dxa" w:w="1040"/>
          </w:tcPr>
          <w:p>
            <w:pPr>
              <w:pStyle w:val="Compact"/>
              <w:jc w:val="left"/>
            </w:pPr>
            <w:r>
              <w:t xml:space="preserve">55.90</w:t>
            </w:r>
          </w:p>
        </w:tc>
        <w:tc>
          <w:tcPr>
            <w:tcW w:type="dxa" w:w="1040"/>
          </w:tcPr>
          <w:p>
            <w:pPr>
              <w:pStyle w:val="Compact"/>
              <w:jc w:val="left"/>
            </w:pPr>
            <w:r>
              <w:t xml:space="preserve">100.15</w:t>
            </w:r>
          </w:p>
        </w:tc>
        <w:tc>
          <w:tcPr>
            <w:tcW w:type="dxa" w:w="1040"/>
          </w:tcPr>
          <w:p>
            <w:pPr>
              <w:pStyle w:val="Compact"/>
              <w:jc w:val="left"/>
            </w:pPr>
            <w:r>
              <w:t xml:space="preserve">73.60</w:t>
            </w:r>
          </w:p>
        </w:tc>
      </w:tr>
      <w:tr>
        <w:tc>
          <w:tcPr>
            <w:tcW w:type="dxa" w:w="1040"/>
          </w:tcPr>
          <w:p>
            <w:pPr>
              <w:pStyle w:val="Compact"/>
              <w:jc w:val="left"/>
            </w:pPr>
            <w:r>
              <w:t xml:space="preserve">5</w:t>
            </w:r>
          </w:p>
        </w:tc>
        <w:tc>
          <w:tcPr>
            <w:tcW w:type="dxa" w:w="1040"/>
          </w:tcPr>
          <w:p>
            <w:pPr>
              <w:pStyle w:val="Compact"/>
              <w:jc w:val="left"/>
            </w:pPr>
            <w:r>
              <w:t xml:space="preserve">2.16</w:t>
            </w:r>
          </w:p>
        </w:tc>
        <w:tc>
          <w:tcPr>
            <w:tcW w:type="dxa" w:w="1040"/>
          </w:tcPr>
          <w:p>
            <w:pPr>
              <w:pStyle w:val="Compact"/>
              <w:jc w:val="left"/>
            </w:pPr>
            <w:r>
              <w:t xml:space="preserve">57.80</w:t>
            </w:r>
          </w:p>
        </w:tc>
        <w:tc>
          <w:tcPr>
            <w:tcW w:type="dxa" w:w="1040"/>
          </w:tcPr>
          <w:p>
            <w:pPr>
              <w:pStyle w:val="Compact"/>
              <w:jc w:val="left"/>
            </w:pPr>
            <w:r>
              <w:t xml:space="preserve">41.00</w:t>
            </w:r>
          </w:p>
        </w:tc>
        <w:tc>
          <w:tcPr>
            <w:tcW w:type="dxa" w:w="1040"/>
          </w:tcPr>
          <w:p>
            <w:pPr>
              <w:pStyle w:val="Compact"/>
              <w:jc w:val="left"/>
            </w:pPr>
            <w:r>
              <w:t xml:space="preserve">100.40</w:t>
            </w:r>
          </w:p>
        </w:tc>
        <w:tc>
          <w:tcPr>
            <w:tcW w:type="dxa" w:w="1040"/>
          </w:tcPr>
          <w:p>
            <w:pPr>
              <w:pStyle w:val="Compact"/>
              <w:jc w:val="left"/>
            </w:pPr>
            <w:r>
              <w:t xml:space="preserve">98.90</w:t>
            </w:r>
          </w:p>
        </w:tc>
        <w:tc>
          <w:tcPr>
            <w:tcW w:type="dxa" w:w="1040"/>
          </w:tcPr>
          <w:p>
            <w:pPr>
              <w:pStyle w:val="Compact"/>
              <w:jc w:val="left"/>
            </w:pPr>
            <w:r>
              <w:t xml:space="preserve">56.20</w:t>
            </w:r>
          </w:p>
        </w:tc>
        <w:tc>
          <w:tcPr>
            <w:tcW w:type="dxa" w:w="1040"/>
          </w:tcPr>
          <w:p>
            <w:pPr>
              <w:pStyle w:val="Compact"/>
              <w:jc w:val="left"/>
            </w:pPr>
            <w:r>
              <w:t xml:space="preserve">100.20</w:t>
            </w:r>
          </w:p>
        </w:tc>
        <w:tc>
          <w:tcPr>
            <w:tcW w:type="dxa" w:w="1040"/>
          </w:tcPr>
          <w:p>
            <w:pPr>
              <w:pStyle w:val="Compact"/>
              <w:jc w:val="left"/>
            </w:pPr>
            <w:r>
              <w:t xml:space="preserve">74.20</w:t>
            </w:r>
          </w:p>
        </w:tc>
      </w:tr>
      <w:tr>
        <w:tc>
          <w:tcPr>
            <w:tcW w:type="dxa" w:w="1040"/>
          </w:tcPr>
          <w:p>
            <w:pPr>
              <w:pStyle w:val="Compact"/>
              <w:jc w:val="left"/>
            </w:pPr>
            <w:r>
              <w:t xml:space="preserve">6 (crisis)</w:t>
            </w:r>
          </w:p>
        </w:tc>
        <w:tc>
          <w:tcPr>
            <w:tcW w:type="dxa" w:w="1040"/>
          </w:tcPr>
          <w:p>
            <w:pPr>
              <w:pStyle w:val="Compact"/>
              <w:jc w:val="left"/>
            </w:pPr>
            <w:r>
              <w:t xml:space="preserve">2.17 D1</w:t>
            </w:r>
          </w:p>
        </w:tc>
        <w:tc>
          <w:tcPr>
            <w:tcW w:type="dxa" w:w="1040"/>
          </w:tcPr>
          <w:p>
            <w:pPr>
              <w:pStyle w:val="Compact"/>
              <w:jc w:val="left"/>
            </w:pPr>
            <w:r>
              <w:t xml:space="preserve">40.50</w:t>
            </w:r>
          </w:p>
        </w:tc>
        <w:tc>
          <w:tcPr>
            <w:tcW w:type="dxa" w:w="1040"/>
          </w:tcPr>
          <w:p>
            <w:pPr>
              <w:pStyle w:val="Compact"/>
              <w:jc w:val="left"/>
            </w:pPr>
            <w:r>
              <w:t xml:space="preserve">27.90</w:t>
            </w:r>
          </w:p>
        </w:tc>
        <w:tc>
          <w:tcPr>
            <w:tcW w:type="dxa" w:w="1040"/>
          </w:tcPr>
          <w:p>
            <w:pPr>
              <w:pStyle w:val="Compact"/>
              <w:jc w:val="left"/>
            </w:pPr>
            <w:r>
              <w:t xml:space="preserve">99.60</w:t>
            </w:r>
          </w:p>
        </w:tc>
        <w:tc>
          <w:tcPr>
            <w:tcW w:type="dxa" w:w="1040"/>
          </w:tcPr>
          <w:p>
            <w:pPr>
              <w:pStyle w:val="Compact"/>
              <w:jc w:val="left"/>
            </w:pPr>
            <w:r>
              <w:t xml:space="preserve">99.00</w:t>
            </w:r>
          </w:p>
        </w:tc>
        <w:tc>
          <w:tcPr>
            <w:tcW w:type="dxa" w:w="1040"/>
          </w:tcPr>
          <w:p>
            <w:pPr>
              <w:pStyle w:val="Compact"/>
              <w:jc w:val="left"/>
            </w:pPr>
            <w:r>
              <w:t xml:space="preserve">54.80</w:t>
            </w:r>
          </w:p>
        </w:tc>
        <w:tc>
          <w:tcPr>
            <w:tcW w:type="dxa" w:w="1040"/>
          </w:tcPr>
          <w:p>
            <w:pPr>
              <w:pStyle w:val="Compact"/>
              <w:jc w:val="left"/>
            </w:pPr>
            <w:r>
              <w:t xml:space="preserve">100.25</w:t>
            </w:r>
          </w:p>
        </w:tc>
        <w:tc>
          <w:tcPr>
            <w:tcW w:type="dxa" w:w="1040"/>
          </w:tcPr>
          <w:p>
            <w:pPr>
              <w:pStyle w:val="Compact"/>
              <w:jc w:val="left"/>
            </w:pPr>
            <w:r>
              <w:t xml:space="preserve">68.50</w:t>
            </w:r>
          </w:p>
        </w:tc>
      </w:tr>
      <w:tr>
        <w:tc>
          <w:tcPr>
            <w:tcW w:type="dxa" w:w="1040"/>
          </w:tcPr>
          <w:p>
            <w:pPr>
              <w:pStyle w:val="Compact"/>
              <w:jc w:val="left"/>
            </w:pPr>
            <w:r>
              <w:t xml:space="preserve">7 (crisis)</w:t>
            </w:r>
          </w:p>
        </w:tc>
        <w:tc>
          <w:tcPr>
            <w:tcW w:type="dxa" w:w="1040"/>
          </w:tcPr>
          <w:p>
            <w:pPr>
              <w:pStyle w:val="Compact"/>
              <w:jc w:val="left"/>
            </w:pPr>
            <w:r>
              <w:t xml:space="preserve">2.17 D2</w:t>
            </w:r>
          </w:p>
        </w:tc>
        <w:tc>
          <w:tcPr>
            <w:tcW w:type="dxa" w:w="1040"/>
          </w:tcPr>
          <w:p>
            <w:pPr>
              <w:pStyle w:val="Compact"/>
              <w:jc w:val="left"/>
            </w:pPr>
            <w:r>
              <w:t xml:space="preserve">31.20</w:t>
            </w:r>
          </w:p>
        </w:tc>
        <w:tc>
          <w:tcPr>
            <w:tcW w:type="dxa" w:w="1040"/>
          </w:tcPr>
          <w:p>
            <w:pPr>
              <w:pStyle w:val="Compact"/>
              <w:jc w:val="left"/>
            </w:pPr>
            <w:r>
              <w:t xml:space="preserve">20.10</w:t>
            </w:r>
          </w:p>
        </w:tc>
        <w:tc>
          <w:tcPr>
            <w:tcW w:type="dxa" w:w="1040"/>
          </w:tcPr>
          <w:p>
            <w:pPr>
              <w:pStyle w:val="Compact"/>
              <w:jc w:val="left"/>
            </w:pPr>
            <w:r>
              <w:t xml:space="preserve">99.20</w:t>
            </w:r>
          </w:p>
        </w:tc>
        <w:tc>
          <w:tcPr>
            <w:tcW w:type="dxa" w:w="1040"/>
          </w:tcPr>
          <w:p>
            <w:pPr>
              <w:pStyle w:val="Compact"/>
              <w:jc w:val="left"/>
            </w:pPr>
            <w:r>
              <w:t xml:space="preserve">99.20</w:t>
            </w:r>
          </w:p>
        </w:tc>
        <w:tc>
          <w:tcPr>
            <w:tcW w:type="dxa" w:w="1040"/>
          </w:tcPr>
          <w:p>
            <w:pPr>
              <w:pStyle w:val="Compact"/>
              <w:jc w:val="left"/>
            </w:pPr>
            <w:r>
              <w:t xml:space="preserve">53.90</w:t>
            </w:r>
          </w:p>
        </w:tc>
        <w:tc>
          <w:tcPr>
            <w:tcW w:type="dxa" w:w="1040"/>
          </w:tcPr>
          <w:p>
            <w:pPr>
              <w:pStyle w:val="Compact"/>
              <w:jc w:val="left"/>
            </w:pPr>
            <w:r>
              <w:t xml:space="preserve">100.30</w:t>
            </w:r>
          </w:p>
        </w:tc>
        <w:tc>
          <w:tcPr>
            <w:tcW w:type="dxa" w:w="1040"/>
          </w:tcPr>
          <w:p>
            <w:pPr>
              <w:pStyle w:val="Compact"/>
              <w:jc w:val="left"/>
            </w:pPr>
            <w:r>
              <w:t xml:space="preserve">64.00</w:t>
            </w:r>
          </w:p>
        </w:tc>
      </w:tr>
      <w:tr>
        <w:tc>
          <w:tcPr>
            <w:tcW w:type="dxa" w:w="1040"/>
          </w:tcPr>
          <w:p>
            <w:pPr>
              <w:pStyle w:val="Compact"/>
              <w:jc w:val="left"/>
            </w:pPr>
            <w:r>
              <w:t xml:space="preserve">8 (recovery)</w:t>
            </w:r>
          </w:p>
        </w:tc>
        <w:tc>
          <w:tcPr>
            <w:tcW w:type="dxa" w:w="1040"/>
          </w:tcPr>
          <w:p>
            <w:pPr>
              <w:pStyle w:val="Compact"/>
              <w:jc w:val="left"/>
            </w:pPr>
            <w:r>
              <w:t xml:space="preserve">2.18</w:t>
            </w:r>
          </w:p>
        </w:tc>
        <w:tc>
          <w:tcPr>
            <w:tcW w:type="dxa" w:w="1040"/>
          </w:tcPr>
          <w:p>
            <w:pPr>
              <w:pStyle w:val="Compact"/>
              <w:jc w:val="left"/>
            </w:pPr>
            <w:r>
              <w:t xml:space="preserve">36.90</w:t>
            </w:r>
          </w:p>
        </w:tc>
        <w:tc>
          <w:tcPr>
            <w:tcW w:type="dxa" w:w="1040"/>
          </w:tcPr>
          <w:p>
            <w:pPr>
              <w:pStyle w:val="Compact"/>
              <w:jc w:val="left"/>
            </w:pPr>
            <w:r>
              <w:t xml:space="preserve">24.30</w:t>
            </w:r>
          </w:p>
        </w:tc>
        <w:tc>
          <w:tcPr>
            <w:tcW w:type="dxa" w:w="1040"/>
          </w:tcPr>
          <w:p>
            <w:pPr>
              <w:pStyle w:val="Compact"/>
              <w:jc w:val="left"/>
            </w:pPr>
            <w:r>
              <w:t xml:space="preserve">99.70</w:t>
            </w:r>
          </w:p>
        </w:tc>
        <w:tc>
          <w:tcPr>
            <w:tcW w:type="dxa" w:w="1040"/>
          </w:tcPr>
          <w:p>
            <w:pPr>
              <w:pStyle w:val="Compact"/>
              <w:jc w:val="left"/>
            </w:pPr>
            <w:r>
              <w:t xml:space="preserve">99.30</w:t>
            </w:r>
          </w:p>
        </w:tc>
        <w:tc>
          <w:tcPr>
            <w:tcW w:type="dxa" w:w="1040"/>
          </w:tcPr>
          <w:p>
            <w:pPr>
              <w:pStyle w:val="Compact"/>
              <w:jc w:val="left"/>
            </w:pPr>
            <w:r>
              <w:t xml:space="preserve">55.10</w:t>
            </w:r>
          </w:p>
        </w:tc>
        <w:tc>
          <w:tcPr>
            <w:tcW w:type="dxa" w:w="1040"/>
          </w:tcPr>
          <w:p>
            <w:pPr>
              <w:pStyle w:val="Compact"/>
              <w:jc w:val="left"/>
            </w:pPr>
            <w:r>
              <w:t xml:space="preserve">100.35</w:t>
            </w:r>
          </w:p>
        </w:tc>
        <w:tc>
          <w:tcPr>
            <w:tcW w:type="dxa" w:w="1040"/>
          </w:tcPr>
          <w:p>
            <w:pPr>
              <w:pStyle w:val="Compact"/>
              <w:jc w:val="left"/>
            </w:pPr>
            <w:r>
              <w:t xml:space="preserve">67.10</w:t>
            </w:r>
          </w:p>
        </w:tc>
      </w:tr>
      <w:tr>
        <w:tc>
          <w:tcPr>
            <w:tcW w:type="dxa" w:w="1040"/>
          </w:tcPr>
          <w:p>
            <w:pPr>
              <w:pStyle w:val="Compact"/>
              <w:jc w:val="left"/>
            </w:pPr>
            <w:r>
              <w:t xml:space="preserve">9 (close)</w:t>
            </w:r>
          </w:p>
        </w:tc>
        <w:tc>
          <w:tcPr>
            <w:tcW w:type="dxa" w:w="1040"/>
          </w:tcPr>
          <w:p>
            <w:pPr>
              <w:pStyle w:val="Compact"/>
              <w:jc w:val="left"/>
            </w:pPr>
            <w:r>
              <w:t xml:space="preserve">2.19 D1</w:t>
            </w:r>
          </w:p>
        </w:tc>
        <w:tc>
          <w:tcPr>
            <w:tcW w:type="dxa" w:w="1040"/>
          </w:tcPr>
          <w:p>
            <w:pPr>
              <w:pStyle w:val="Compact"/>
              <w:jc w:val="left"/>
            </w:pPr>
            <w:r>
              <w:t xml:space="preserve">36.90</w:t>
            </w:r>
          </w:p>
        </w:tc>
        <w:tc>
          <w:tcPr>
            <w:tcW w:type="dxa" w:w="1040"/>
          </w:tcPr>
          <w:p>
            <w:pPr>
              <w:pStyle w:val="Compact"/>
              <w:jc w:val="left"/>
            </w:pPr>
            <w:r>
              <w:t xml:space="preserve">24.30</w:t>
            </w:r>
          </w:p>
        </w:tc>
        <w:tc>
          <w:tcPr>
            <w:tcW w:type="dxa" w:w="1040"/>
          </w:tcPr>
          <w:p>
            <w:pPr>
              <w:pStyle w:val="Compact"/>
              <w:jc w:val="left"/>
            </w:pPr>
            <w:r>
              <w:t xml:space="preserve">99.70</w:t>
            </w:r>
          </w:p>
        </w:tc>
        <w:tc>
          <w:tcPr>
            <w:tcW w:type="dxa" w:w="1040"/>
          </w:tcPr>
          <w:p>
            <w:pPr>
              <w:pStyle w:val="Compact"/>
              <w:jc w:val="left"/>
            </w:pPr>
            <w:r>
              <w:t xml:space="preserve">99.30</w:t>
            </w:r>
          </w:p>
        </w:tc>
        <w:tc>
          <w:tcPr>
            <w:tcW w:type="dxa" w:w="1040"/>
          </w:tcPr>
          <w:p>
            <w:pPr>
              <w:pStyle w:val="Compact"/>
              <w:jc w:val="left"/>
            </w:pPr>
            <w:r>
              <w:t xml:space="preserve">55.10</w:t>
            </w:r>
          </w:p>
        </w:tc>
        <w:tc>
          <w:tcPr>
            <w:tcW w:type="dxa" w:w="1040"/>
          </w:tcPr>
          <w:p>
            <w:pPr>
              <w:pStyle w:val="Compact"/>
              <w:jc w:val="left"/>
            </w:pPr>
            <w:r>
              <w:t xml:space="preserve">100.35</w:t>
            </w:r>
          </w:p>
        </w:tc>
        <w:tc>
          <w:tcPr>
            <w:tcW w:type="dxa" w:w="1040"/>
          </w:tcPr>
          <w:p>
            <w:pPr>
              <w:pStyle w:val="Compact"/>
              <w:jc w:val="left"/>
            </w:pPr>
            <w:r>
              <w:t xml:space="preserve">67.10</w:t>
            </w:r>
          </w:p>
        </w:tc>
      </w:tr>
      <w:tr>
        <w:tc>
          <w:tcPr>
            <w:tcW w:type="dxa" w:w="1040"/>
          </w:tcPr>
          <w:p>
            <w:pPr>
              <w:pStyle w:val="Compact"/>
              <w:jc w:val="left"/>
            </w:pPr>
            <w:r>
              <w:t xml:space="preserve">R2 Day 1</w:t>
            </w:r>
          </w:p>
        </w:tc>
        <w:tc>
          <w:tcPr>
            <w:tcW w:type="dxa" w:w="1040"/>
          </w:tcPr>
          <w:p>
            <w:pPr>
              <w:pStyle w:val="Compact"/>
              <w:jc w:val="left"/>
            </w:pPr>
            <w:r>
              <w:t xml:space="preserve">2.20</w:t>
            </w:r>
          </w:p>
        </w:tc>
        <w:tc>
          <w:tcPr>
            <w:tcW w:type="dxa" w:w="1040"/>
          </w:tcPr>
          <w:p>
            <w:pPr>
              <w:pStyle w:val="Compact"/>
              <w:jc w:val="left"/>
            </w:pPr>
            <w:r>
              <w:t xml:space="preserve">41.60</w:t>
            </w:r>
          </w:p>
        </w:tc>
        <w:tc>
          <w:tcPr>
            <w:tcW w:type="dxa" w:w="1040"/>
          </w:tcPr>
          <w:p>
            <w:pPr>
              <w:pStyle w:val="Compact"/>
              <w:jc w:val="left"/>
            </w:pPr>
            <w:r>
              <w:t xml:space="preserve">27.50</w:t>
            </w:r>
          </w:p>
        </w:tc>
        <w:tc>
          <w:tcPr>
            <w:tcW w:type="dxa" w:w="1040"/>
          </w:tcPr>
          <w:p>
            <w:pPr>
              <w:pStyle w:val="Compact"/>
              <w:jc w:val="left"/>
            </w:pPr>
            <w:r>
              <w:t xml:space="preserve">100.20</w:t>
            </w:r>
          </w:p>
        </w:tc>
        <w:tc>
          <w:tcPr>
            <w:tcW w:type="dxa" w:w="1040"/>
          </w:tcPr>
          <w:p>
            <w:pPr>
              <w:pStyle w:val="Compact"/>
              <w:jc w:val="left"/>
            </w:pPr>
            <w:r>
              <w:t xml:space="preserve">99.40</w:t>
            </w:r>
          </w:p>
        </w:tc>
        <w:tc>
          <w:tcPr>
            <w:tcW w:type="dxa" w:w="1040"/>
          </w:tcPr>
          <w:p>
            <w:pPr>
              <w:pStyle w:val="Compact"/>
              <w:jc w:val="left"/>
            </w:pPr>
            <w:r>
              <w:t xml:space="preserve">56.50</w:t>
            </w:r>
          </w:p>
        </w:tc>
        <w:tc>
          <w:tcPr>
            <w:tcW w:type="dxa" w:w="1040"/>
          </w:tcPr>
          <w:p>
            <w:pPr>
              <w:pStyle w:val="Compact"/>
              <w:jc w:val="left"/>
            </w:pPr>
            <w:r>
              <w:t xml:space="preserve">100.40</w:t>
            </w:r>
          </w:p>
        </w:tc>
        <w:tc>
          <w:tcPr>
            <w:tcW w:type="dxa" w:w="1040"/>
          </w:tcPr>
          <w:p>
            <w:pPr>
              <w:pStyle w:val="Compact"/>
              <w:jc w:val="left"/>
            </w:pPr>
            <w:r>
              <w:t xml:space="preserve">70.30</w:t>
            </w:r>
          </w:p>
        </w:tc>
      </w:tr>
      <w:tr>
        <w:tc>
          <w:tcPr>
            <w:tcW w:type="dxa" w:w="1040"/>
          </w:tcPr>
          <w:p>
            <w:pPr>
              <w:pStyle w:val="Compact"/>
              <w:jc w:val="left"/>
            </w:pPr>
            <w:r>
              <w:t xml:space="preserve">R2 Day 2</w:t>
            </w:r>
          </w:p>
        </w:tc>
        <w:tc>
          <w:tcPr>
            <w:tcW w:type="dxa" w:w="1040"/>
          </w:tcPr>
          <w:p>
            <w:pPr>
              <w:pStyle w:val="Compact"/>
              <w:jc w:val="left"/>
            </w:pPr>
            <w:r>
              <w:t xml:space="preserve">2.21</w:t>
            </w:r>
          </w:p>
        </w:tc>
        <w:tc>
          <w:tcPr>
            <w:tcW w:type="dxa" w:w="1040"/>
          </w:tcPr>
          <w:p>
            <w:pPr>
              <w:pStyle w:val="Compact"/>
              <w:jc w:val="left"/>
            </w:pPr>
            <w:r>
              <w:t xml:space="preserve">45.20</w:t>
            </w:r>
          </w:p>
        </w:tc>
        <w:tc>
          <w:tcPr>
            <w:tcW w:type="dxa" w:w="1040"/>
          </w:tcPr>
          <w:p>
            <w:pPr>
              <w:pStyle w:val="Compact"/>
              <w:jc w:val="left"/>
            </w:pPr>
            <w:r>
              <w:t xml:space="preserve">31.80</w:t>
            </w:r>
          </w:p>
        </w:tc>
        <w:tc>
          <w:tcPr>
            <w:tcW w:type="dxa" w:w="1040"/>
          </w:tcPr>
          <w:p>
            <w:pPr>
              <w:pStyle w:val="Compact"/>
              <w:jc w:val="left"/>
            </w:pPr>
            <w:r>
              <w:t xml:space="preserve">100.40</w:t>
            </w:r>
          </w:p>
        </w:tc>
        <w:tc>
          <w:tcPr>
            <w:tcW w:type="dxa" w:w="1040"/>
          </w:tcPr>
          <w:p>
            <w:pPr>
              <w:pStyle w:val="Compact"/>
              <w:jc w:val="left"/>
            </w:pPr>
            <w:r>
              <w:t xml:space="preserve">99.50</w:t>
            </w:r>
          </w:p>
        </w:tc>
        <w:tc>
          <w:tcPr>
            <w:tcW w:type="dxa" w:w="1040"/>
          </w:tcPr>
          <w:p>
            <w:pPr>
              <w:pStyle w:val="Compact"/>
              <w:jc w:val="left"/>
            </w:pPr>
            <w:r>
              <w:t xml:space="preserve">56.90</w:t>
            </w:r>
          </w:p>
        </w:tc>
        <w:tc>
          <w:tcPr>
            <w:tcW w:type="dxa" w:w="1040"/>
          </w:tcPr>
          <w:p>
            <w:pPr>
              <w:pStyle w:val="Compact"/>
              <w:jc w:val="left"/>
            </w:pPr>
            <w:r>
              <w:t xml:space="preserve">100.45</w:t>
            </w:r>
          </w:p>
        </w:tc>
        <w:tc>
          <w:tcPr>
            <w:tcW w:type="dxa" w:w="1040"/>
          </w:tcPr>
          <w:p>
            <w:pPr>
              <w:pStyle w:val="Compact"/>
              <w:jc w:val="left"/>
            </w:pPr>
            <w:r>
              <w:t xml:space="preserve">71.80</w:t>
            </w:r>
          </w:p>
        </w:tc>
      </w:tr>
      <w:tr>
        <w:tc>
          <w:tcPr>
            <w:tcW w:type="dxa" w:w="1040"/>
          </w:tcPr>
          <w:p>
            <w:pPr>
              <w:pStyle w:val="Compact"/>
              <w:jc w:val="left"/>
            </w:pPr>
            <w:r>
              <w:t xml:space="preserve">R2 Day 3</w:t>
            </w:r>
          </w:p>
        </w:tc>
        <w:tc>
          <w:tcPr>
            <w:tcW w:type="dxa" w:w="1040"/>
          </w:tcPr>
          <w:p>
            <w:pPr>
              <w:pStyle w:val="Compact"/>
              <w:jc w:val="left"/>
            </w:pPr>
            <w:r>
              <w:t xml:space="preserve">2.22</w:t>
            </w:r>
          </w:p>
        </w:tc>
        <w:tc>
          <w:tcPr>
            <w:tcW w:type="dxa" w:w="1040"/>
          </w:tcPr>
          <w:p>
            <w:pPr>
              <w:pStyle w:val="Compact"/>
              <w:jc w:val="left"/>
            </w:pPr>
            <w:r>
              <w:t xml:space="preserve">43.70</w:t>
            </w:r>
          </w:p>
        </w:tc>
        <w:tc>
          <w:tcPr>
            <w:tcW w:type="dxa" w:w="1040"/>
          </w:tcPr>
          <w:p>
            <w:pPr>
              <w:pStyle w:val="Compact"/>
              <w:jc w:val="left"/>
            </w:pPr>
            <w:r>
              <w:t xml:space="preserve">34.60</w:t>
            </w:r>
          </w:p>
        </w:tc>
        <w:tc>
          <w:tcPr>
            <w:tcW w:type="dxa" w:w="1040"/>
          </w:tcPr>
          <w:p>
            <w:pPr>
              <w:pStyle w:val="Compact"/>
              <w:jc w:val="left"/>
            </w:pPr>
            <w:r>
              <w:t xml:space="preserve">100.50</w:t>
            </w:r>
          </w:p>
        </w:tc>
        <w:tc>
          <w:tcPr>
            <w:tcW w:type="dxa" w:w="1040"/>
          </w:tcPr>
          <w:p>
            <w:pPr>
              <w:pStyle w:val="Compact"/>
              <w:jc w:val="left"/>
            </w:pPr>
            <w:r>
              <w:t xml:space="preserve">99.60</w:t>
            </w:r>
          </w:p>
        </w:tc>
        <w:tc>
          <w:tcPr>
            <w:tcW w:type="dxa" w:w="1040"/>
          </w:tcPr>
          <w:p>
            <w:pPr>
              <w:pStyle w:val="Compact"/>
              <w:jc w:val="left"/>
            </w:pPr>
            <w:r>
              <w:t xml:space="preserve">57.20</w:t>
            </w:r>
          </w:p>
        </w:tc>
        <w:tc>
          <w:tcPr>
            <w:tcW w:type="dxa" w:w="1040"/>
          </w:tcPr>
          <w:p>
            <w:pPr>
              <w:pStyle w:val="Compact"/>
              <w:jc w:val="left"/>
            </w:pPr>
            <w:r>
              <w:t xml:space="preserve">100.50</w:t>
            </w:r>
          </w:p>
        </w:tc>
        <w:tc>
          <w:tcPr>
            <w:tcW w:type="dxa" w:w="1040"/>
          </w:tcPr>
          <w:p>
            <w:pPr>
              <w:pStyle w:val="Compact"/>
              <w:jc w:val="left"/>
            </w:pPr>
            <w:r>
              <w:t xml:space="preserve">73.00</w:t>
            </w:r>
          </w:p>
        </w:tc>
      </w:tr>
    </w:tbl>
    <w:p>
      <w:pPr>
        <w:pStyle w:val="BodyText"/>
      </w:pPr>
      <w:r>
        <w:t xml:space="preserve">Day 9 is the closing bell: no trades; the prices are the Day 8 close. The peak for the risky ventures is Day 5; the bottom is Day 7.</w:t>
      </w:r>
    </w:p>
    <w:p>
      <w:pPr>
        <w:pStyle w:val="BodyText"/>
      </w:pPr>
      <w:r>
        <w:t xml:space="preserve">Percent moves across the crisis (Day 5 to Day 7): SPRK minus 46.0 percent; CLDB minus 51.0 percent; MDOW minus 13.7 percent; WLLW minus 4.1 percent; IRON minus 1.2 percent; SEAL plus 0.3 percent; HNYP plus 0.1 percent.</w:t>
      </w:r>
    </w:p>
    <w:p>
      <w:pPr>
        <w:pStyle w:val="Heading3"/>
      </w:pPr>
      <w:bookmarkStart w:id="26" w:name="the-dispatch-script"/>
      <w:r>
        <w:t xml:space="preserve">The dispatch script</w:t>
      </w:r>
      <w:bookmarkEnd w:id="26"/>
    </w:p>
    <w:p>
      <w:pPr>
        <w:pStyle w:val="FirstParagraph"/>
      </w:pPr>
      <w:r>
        <w:rPr>
          <w:b/>
        </w:rPr>
        <w:t xml:space="preserve">Day 1 (Lesson 2.14 Day 1).</w:t>
      </w:r>
      <w:r>
        <w:t xml:space="preserve"> </w:t>
      </w:r>
      <w:r>
        <w:t xml:space="preserve">“</w:t>
      </w:r>
      <w:r>
        <w:t xml:space="preserve">Merchants, welcome to Fortune Street. The Golden Land’s seven ventures open for trading today at the prices on the board. The Crown wishes you a fair season. No news yet; the street is quiet.</w:t>
      </w:r>
      <w:r>
        <w:t xml:space="preserve">”</w:t>
      </w:r>
    </w:p>
    <w:p>
      <w:pPr>
        <w:pStyle w:val="BodyText"/>
      </w:pPr>
      <w:r>
        <w:rPr>
          <w:b/>
        </w:rPr>
        <w:t xml:space="preserve">Day 2 (Lesson 2.14 Day 2).</w:t>
      </w:r>
      <w:r>
        <w:t xml:space="preserve"> </w:t>
      </w:r>
      <w:r>
        <w:t xml:space="preserve">“</w:t>
      </w:r>
      <w:r>
        <w:t xml:space="preserve">The spring trade season opens. Crews at Sparkstone report good weather in the mountains, and Cloudberry’s balloons lift off on schedule. Planting begins across Meadowgold’s farms. Buyers are cheerful; most prices edge up. The Honeypot pays its usual small amount.</w:t>
      </w:r>
      <w:r>
        <w:t xml:space="preserve">”</w:t>
      </w:r>
    </w:p>
    <w:p>
      <w:pPr>
        <w:pStyle w:val="BodyText"/>
      </w:pPr>
      <w:r>
        <w:rPr>
          <w:b/>
        </w:rPr>
        <w:t xml:space="preserve">Day 3 (Lesson 2.15 Day 1).</w:t>
      </w:r>
      <w:r>
        <w:t xml:space="preserve"> </w:t>
      </w:r>
      <w:r>
        <w:t xml:space="preserve">Two dispatches.</w:t>
      </w:r>
      <w:r>
        <w:t xml:space="preserve"> </w:t>
      </w:r>
      <w:r>
        <w:t xml:space="preserve">“</w:t>
      </w:r>
      <w:r>
        <w:t xml:space="preserve">A shaft floods at Sparkstone’s north mine. No one is hurt, but output will be down for a month while the pumps run.</w:t>
      </w:r>
      <w:r>
        <w:t xml:space="preserve">”</w:t>
      </w:r>
      <w:r>
        <w:t xml:space="preserve"> </w:t>
      </w:r>
      <w:r>
        <w:t xml:space="preserve">And:</w:t>
      </w:r>
      <w:r>
        <w:t xml:space="preserve"> </w:t>
      </w:r>
      <w:r>
        <w:t xml:space="preserve">“</w:t>
      </w:r>
      <w:r>
        <w:t xml:space="preserve">Cloudberry’s second expedition sights islands nobody has mapped. Meanwhile, a week of rain delays planting on Meadowgold’s eastern farms.</w:t>
      </w:r>
      <w:r>
        <w:t xml:space="preserve">”</w:t>
      </w:r>
    </w:p>
    <w:p>
      <w:pPr>
        <w:pStyle w:val="BodyText"/>
      </w:pPr>
      <w:r>
        <w:rPr>
          <w:b/>
        </w:rPr>
        <w:t xml:space="preserve">Day 4 (Lesson 2.15 Day 2).</w:t>
      </w:r>
      <w:r>
        <w:t xml:space="preserve"> </w:t>
      </w:r>
      <w:r>
        <w:t xml:space="preserve">Three dispatches.</w:t>
      </w:r>
      <w:r>
        <w:t xml:space="preserve"> </w:t>
      </w:r>
      <w:r>
        <w:t xml:space="preserve">“</w:t>
      </w:r>
      <w:r>
        <w:t xml:space="preserve">Sparkstone’s pumps clear the flooded shaft, and the crews strike a new seam of crystal on the way down.</w:t>
      </w:r>
      <w:r>
        <w:t xml:space="preserve">”</w:t>
      </w:r>
      <w:r>
        <w:t xml:space="preserve"> </w:t>
      </w:r>
      <w:r>
        <w:t xml:space="preserve">“</w:t>
      </w:r>
      <w:r>
        <w:t xml:space="preserve">Cloudberry’s islands turn out to be bare rock; the expedition returns with nothing.</w:t>
      </w:r>
      <w:r>
        <w:t xml:space="preserve">”</w:t>
      </w:r>
      <w:r>
        <w:t xml:space="preserve"> </w:t>
      </w:r>
      <w:r>
        <w:t xml:space="preserve">“</w:t>
      </w:r>
      <w:r>
        <w:t xml:space="preserve">Meadowgold signs a rent deal with the Crown’s granary for the next three seasons.</w:t>
      </w:r>
      <w:r>
        <w:t xml:space="preserve">”</w:t>
      </w:r>
      <w:r>
        <w:t xml:space="preserve"> </w:t>
      </w:r>
      <w:r>
        <w:t xml:space="preserve">Optional hype dispatch, read in a different voice:</w:t>
      </w:r>
      <w:r>
        <w:t xml:space="preserve"> </w:t>
      </w:r>
      <w:r>
        <w:t xml:space="preserve">“</w:t>
      </w:r>
      <w:r>
        <w:t xml:space="preserve">From an unnamed source: Sparkstone will DOUBLE by next week. Get in NOW before everyone else does.</w:t>
      </w:r>
      <w:r>
        <w:t xml:space="preserve">”</w:t>
      </w:r>
      <w:r>
        <w:t xml:space="preserve"> </w:t>
      </w:r>
      <w:r>
        <w:t xml:space="preserve">(Tell students afterward that the last one was written by you and ask which tests it failed.)</w:t>
      </w:r>
    </w:p>
    <w:p>
      <w:pPr>
        <w:pStyle w:val="BodyText"/>
      </w:pPr>
      <w:r>
        <w:rPr>
          <w:b/>
        </w:rPr>
        <w:t xml:space="preserve">Day 5 (Lesson 2.16).</w:t>
      </w:r>
      <w:r>
        <w:t xml:space="preserve"> </w:t>
      </w:r>
      <w:r>
        <w:t xml:space="preserve">“</w:t>
      </w:r>
      <w:r>
        <w:t xml:space="preserve">Trade fair week on Fortune Street. Buyers from every province fill the market. Cloudberry announces a fourth voyage. Prices sit at season highs. The Crown’s treasury reports a strong year and Crown Seal Notes will pay their usual 2 percent.</w:t>
      </w:r>
      <w:r>
        <w:t xml:space="preserve">”</w:t>
      </w:r>
      <w:r>
        <w:t xml:space="preserve"> </w:t>
      </w:r>
      <w:r>
        <w:t xml:space="preserve">(Say nothing about tomorrow.)</w:t>
      </w:r>
    </w:p>
    <w:p>
      <w:pPr>
        <w:pStyle w:val="BodyText"/>
      </w:pPr>
      <w:r>
        <w:rPr>
          <w:b/>
        </w:rPr>
        <w:t xml:space="preserve">Day 6 (Lesson 2.17 Day 1), the crisis.</w:t>
      </w:r>
      <w:r>
        <w:t xml:space="preserve"> </w:t>
      </w:r>
      <w:r>
        <w:t xml:space="preserve">“</w:t>
      </w:r>
      <w:r>
        <w:t xml:space="preserve">Dispatch from the harbor. A fleet of forty trading ships from the eastern sea has sunk in a storm, and with it the cargo that half the merchants on this street had borrowed against. The lenders are calling in their loans this morning. Merchants are selling whatever they can to pay. Sparkstone and Cloudberry are falling hardest. Meadowgold is down. The Crown’s notes, the Iron Vault, and the Honeypot are holding.</w:t>
      </w:r>
      <w:r>
        <w:t xml:space="preserve">”</w:t>
      </w:r>
      <w:r>
        <w:t xml:space="preserve"> </w:t>
      </w:r>
      <w:r>
        <w:t xml:space="preserve">(Post the prices after the second reading.)</w:t>
      </w:r>
    </w:p>
    <w:p>
      <w:pPr>
        <w:pStyle w:val="BodyText"/>
      </w:pPr>
      <w:r>
        <w:rPr>
          <w:b/>
        </w:rPr>
        <w:t xml:space="preserve">Day 7 (Lesson 2.17 Day 2).</w:t>
      </w:r>
      <w:r>
        <w:t xml:space="preserve"> </w:t>
      </w:r>
      <w:r>
        <w:t xml:space="preserve">Two dispatches.</w:t>
      </w:r>
      <w:r>
        <w:t xml:space="preserve"> </w:t>
      </w:r>
      <w:r>
        <w:t xml:space="preserve">“</w:t>
      </w:r>
      <w:r>
        <w:t xml:space="preserve">The shipyard that built the fleet has closed its gates. Two trading houses have failed overnight. The selling continues; Sparkstone and Cloudberry fall again.</w:t>
      </w:r>
      <w:r>
        <w:t xml:space="preserve">”</w:t>
      </w:r>
      <w:r>
        <w:t xml:space="preserve"> </w:t>
      </w:r>
      <w:r>
        <w:t xml:space="preserve">And, at the end of the trading window:</w:t>
      </w:r>
      <w:r>
        <w:t xml:space="preserve"> </w:t>
      </w:r>
      <w:r>
        <w:t xml:space="preserve">“</w:t>
      </w:r>
      <w:r>
        <w:t xml:space="preserve">The Crown announces it will lend to any sound merchant at low cost until the street steadies. Some buyers say the worst may be near.</w:t>
      </w:r>
      <w:r>
        <w:t xml:space="preserve">”</w:t>
      </w:r>
    </w:p>
    <w:p>
      <w:pPr>
        <w:pStyle w:val="BodyText"/>
      </w:pPr>
      <w:r>
        <w:rPr>
          <w:b/>
        </w:rPr>
        <w:t xml:space="preserve">Day 8 (Lesson 2.18), recovery.</w:t>
      </w:r>
      <w:r>
        <w:t xml:space="preserve"> </w:t>
      </w:r>
      <w:r>
        <w:t xml:space="preserve">“</w:t>
      </w:r>
      <w:r>
        <w:t xml:space="preserve">The Crown’s loans have steadied the street. Sparkstone reopens two shafts; Cloudberry secures coin for its fourth voyage after all. Buyers return, slowly. Prices are up from yesterday but well below the trade fair highs. The Honeypot pays as always.</w:t>
      </w:r>
      <w:r>
        <w:t xml:space="preserve">”</w:t>
      </w:r>
    </w:p>
    <w:p>
      <w:pPr>
        <w:pStyle w:val="BodyText"/>
      </w:pPr>
      <w:r>
        <w:rPr>
          <w:b/>
        </w:rPr>
        <w:t xml:space="preserve">Day 9 (Lesson 2.19 Day 1), the closing bell.</w:t>
      </w:r>
      <w:r>
        <w:t xml:space="preserve"> </w:t>
      </w:r>
      <w:r>
        <w:t xml:space="preserve">“</w:t>
      </w:r>
      <w:r>
        <w:t xml:space="preserve">The market is closed for the reveal. No trades today. Total your fortune at yesterday’s prices and bring it to the board.</w:t>
      </w:r>
      <w:r>
        <w:t xml:space="preserve">”</w:t>
      </w:r>
    </w:p>
    <w:p>
      <w:pPr>
        <w:pStyle w:val="BodyText"/>
      </w:pPr>
      <w:r>
        <w:rPr>
          <w:b/>
        </w:rPr>
        <w:t xml:space="preserve">Round 2, Day 1 (Lesson 2.20).</w:t>
      </w:r>
      <w:r>
        <w:t xml:space="preserve"> </w:t>
      </w:r>
      <w:r>
        <w:t xml:space="preserve">“</w:t>
      </w:r>
      <w:r>
        <w:t xml:space="preserve">Fortune Street reopens. You now know what every venture really is. Sparkstone reports strong output from the new seam. Cloudberry’s fourth voyage launches. The recovery continues.</w:t>
      </w:r>
      <w:r>
        <w:t xml:space="preserve">”</w:t>
      </w:r>
    </w:p>
    <w:p>
      <w:pPr>
        <w:pStyle w:val="BodyText"/>
      </w:pPr>
      <w:r>
        <w:rPr>
          <w:b/>
        </w:rPr>
        <w:t xml:space="preserve">Round 2, Day 2 (Lesson 2.21).</w:t>
      </w:r>
      <w:r>
        <w:t xml:space="preserve"> </w:t>
      </w:r>
      <w:r>
        <w:t xml:space="preserve">“</w:t>
      </w:r>
      <w:r>
        <w:t xml:space="preserve">Cloudberry’s voyage sends back word of a real find: a harbor on an unmapped coast. Sparkstone rises with the general recovery. Meadowgold’s rents climb as the granary deal begins.</w:t>
      </w:r>
      <w:r>
        <w:t xml:space="preserve">”</w:t>
      </w:r>
    </w:p>
    <w:p>
      <w:pPr>
        <w:pStyle w:val="BodyText"/>
      </w:pPr>
      <w:r>
        <w:rPr>
          <w:b/>
        </w:rPr>
        <w:t xml:space="preserve">Round 2, Day 3 (Lesson 2.22).</w:t>
      </w:r>
      <w:r>
        <w:t xml:space="preserve"> </w:t>
      </w:r>
      <w:r>
        <w:t xml:space="preserve">“</w:t>
      </w:r>
      <w:r>
        <w:t xml:space="preserve">A dry spell worries Sparkstone’s water supply and the price slips. Cloudberry confirms its find. Meadowgold’s rents climb again. The Crown’s notes pay on schedule. Round 2 closes at the bell.</w:t>
      </w:r>
      <w:r>
        <w:t xml:space="preserve">”</w:t>
      </w:r>
    </w:p>
    <w:p>
      <w:pPr>
        <w:pStyle w:val="Heading3"/>
      </w:pPr>
      <w:bookmarkStart w:id="27" w:name="checking-a-ledger"/>
      <w:r>
        <w:t xml:space="preserve">Checking a ledger</w:t>
      </w:r>
      <w:bookmarkEnd w:id="27"/>
    </w:p>
    <w:p>
      <w:pPr>
        <w:pStyle w:val="FirstParagraph"/>
      </w:pPr>
      <w:r>
        <w:t xml:space="preserve">Spot check one student per day: pick a trade in Section A and confirm units times price equals the cash change; then confirm Section C’s total for that day equals cash plus units times the board price for each venture. A ledger that does not add is corrected by the student with the teacher watching, not by the teacher.</w:t>
      </w:r>
    </w:p>
    <w:p>
      <w:pPr>
        <w:pStyle w:val="BodyText"/>
      </w:pPr>
      <w:r>
        <w:t xml:space="preserve">Worked check, Day 1: a student buys 200 SPRK at 48.50 (9,700), 100 SEAL at 98.50 (9,850), 50 HNYP at 100.00 (5,000). Cash after: 25,000 minus 9,700 minus 9,850 minus 5,000 = 450. Day 1 total fortune: 450 + 9,700 + 9,850 + 5,000 = 25,000. Day 2 total, same holdings: 450 + 200 x 51.00 (10,200) + 100 x 98.60 (9,860) + 50 x 100.05 (5,002.50) = 25,512.50.</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2026-09-15T16:27:23Z</dcterms:created>
  <dcterms:modified xsi:type="dcterms:W3CDTF">2026-09-15T16:27:23Z</dcterms:modified>
</cp:coreProperties>
</file>

<file path=docProps/custom.xml><?xml version="1.0" encoding="utf-8"?>
<Properties xmlns="http://schemas.openxmlformats.org/officeDocument/2006/custom-properties" xmlns:vt="http://schemas.openxmlformats.org/officeDocument/2006/docPropsVTypes"/>
</file>